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91E47" w14:textId="3EBC7009" w:rsidR="00711661" w:rsidRPr="00B266B0" w:rsidRDefault="00711661" w:rsidP="0071166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2368EA">
        <w:rPr>
          <w:noProof w:val="0"/>
          <w:sz w:val="24"/>
          <w:szCs w:val="24"/>
        </w:rPr>
        <w:t>3bis</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sidR="00EB3379" w:rsidRPr="00EB3379">
        <w:rPr>
          <w:rFonts w:cs="Arial"/>
          <w:b w:val="0"/>
          <w:bCs/>
          <w:color w:val="808080"/>
          <w:sz w:val="26"/>
          <w:szCs w:val="26"/>
        </w:rPr>
        <w:t xml:space="preserve"> </w:t>
      </w:r>
      <w:r w:rsidR="0049469A" w:rsidRPr="0049469A">
        <w:rPr>
          <w:bCs/>
          <w:noProof w:val="0"/>
          <w:sz w:val="24"/>
          <w:szCs w:val="24"/>
        </w:rPr>
        <w:t>241604</w:t>
      </w:r>
    </w:p>
    <w:p w14:paraId="6141F2D8" w14:textId="7B2D413A" w:rsidR="009E204C" w:rsidRPr="00B1063A" w:rsidRDefault="006D1F52" w:rsidP="009E204C">
      <w:pPr>
        <w:pStyle w:val="Header"/>
        <w:tabs>
          <w:tab w:val="right" w:pos="9639"/>
        </w:tabs>
        <w:rPr>
          <w:bCs/>
          <w:noProof w:val="0"/>
          <w:sz w:val="24"/>
          <w:szCs w:val="24"/>
          <w:lang w:val="en-US"/>
        </w:rPr>
      </w:pPr>
      <w:r>
        <w:rPr>
          <w:rFonts w:cs="Arial"/>
          <w:sz w:val="24"/>
          <w:szCs w:val="24"/>
          <w:lang w:val="en-US"/>
        </w:rPr>
        <w:t>Changsha</w:t>
      </w:r>
      <w:r w:rsidR="009E204C">
        <w:rPr>
          <w:rFonts w:cs="Arial"/>
          <w:sz w:val="24"/>
          <w:szCs w:val="24"/>
          <w:lang w:val="en-US"/>
        </w:rPr>
        <w:t xml:space="preserve">, </w:t>
      </w:r>
      <w:r w:rsidR="002368EA">
        <w:rPr>
          <w:rFonts w:cs="Arial"/>
          <w:sz w:val="24"/>
          <w:szCs w:val="24"/>
          <w:lang w:val="en-US"/>
        </w:rPr>
        <w:t>China</w:t>
      </w:r>
      <w:r w:rsidR="009E204C" w:rsidRPr="00782170">
        <w:rPr>
          <w:rFonts w:cs="Arial"/>
          <w:sz w:val="24"/>
          <w:szCs w:val="24"/>
          <w:lang w:val="en-US"/>
        </w:rPr>
        <w:t xml:space="preserve">, </w:t>
      </w:r>
      <w:r w:rsidR="0030728C">
        <w:rPr>
          <w:rFonts w:cs="Arial"/>
          <w:sz w:val="24"/>
          <w:szCs w:val="24"/>
          <w:lang w:val="en-US"/>
        </w:rPr>
        <w:t>1</w:t>
      </w:r>
      <w:r w:rsidR="00445EB0">
        <w:rPr>
          <w:rFonts w:cs="Arial"/>
          <w:sz w:val="24"/>
          <w:szCs w:val="24"/>
          <w:lang w:val="en-US"/>
        </w:rPr>
        <w:t>5</w:t>
      </w:r>
      <w:r w:rsidR="009E204C" w:rsidRPr="00782170">
        <w:rPr>
          <w:rFonts w:cs="Arial"/>
          <w:sz w:val="24"/>
          <w:szCs w:val="24"/>
          <w:lang w:val="en-US"/>
        </w:rPr>
        <w:t xml:space="preserve"> – </w:t>
      </w:r>
      <w:r w:rsidR="009E204C">
        <w:rPr>
          <w:rFonts w:cs="Arial"/>
          <w:sz w:val="24"/>
          <w:szCs w:val="24"/>
          <w:lang w:val="en-US"/>
        </w:rPr>
        <w:t>1</w:t>
      </w:r>
      <w:r w:rsidR="00445EB0">
        <w:rPr>
          <w:rFonts w:cs="Arial"/>
          <w:sz w:val="24"/>
          <w:szCs w:val="24"/>
          <w:lang w:val="en-US"/>
        </w:rPr>
        <w:t>9</w:t>
      </w:r>
      <w:r w:rsidR="009E204C" w:rsidRPr="00782170">
        <w:rPr>
          <w:rFonts w:cs="Arial"/>
          <w:sz w:val="24"/>
          <w:szCs w:val="24"/>
          <w:lang w:val="en-US"/>
        </w:rPr>
        <w:t xml:space="preserve"> </w:t>
      </w:r>
      <w:r w:rsidR="00445EB0">
        <w:rPr>
          <w:rFonts w:cs="Arial"/>
          <w:sz w:val="24"/>
          <w:szCs w:val="24"/>
          <w:lang w:val="en-US"/>
        </w:rPr>
        <w:t>April</w:t>
      </w:r>
      <w:r w:rsidR="009E204C" w:rsidRPr="00C84ED9">
        <w:rPr>
          <w:rFonts w:cs="Arial"/>
          <w:sz w:val="24"/>
          <w:szCs w:val="24"/>
          <w:lang w:val="en-US"/>
        </w:rPr>
        <w:t>, 202</w:t>
      </w:r>
      <w:r w:rsidR="002368EA">
        <w:rPr>
          <w:rFonts w:cs="Arial"/>
          <w:sz w:val="24"/>
          <w:szCs w:val="24"/>
          <w:lang w:val="en-US"/>
        </w:rPr>
        <w:t>4</w:t>
      </w:r>
    </w:p>
    <w:p w14:paraId="2F96B0BD" w14:textId="77777777" w:rsidR="002F2360" w:rsidRPr="000665EA" w:rsidRDefault="002F2360" w:rsidP="002F2360">
      <w:pPr>
        <w:pStyle w:val="Header"/>
        <w:tabs>
          <w:tab w:val="left" w:pos="2410"/>
        </w:tabs>
        <w:rPr>
          <w:bCs/>
          <w:noProof w:val="0"/>
          <w:sz w:val="24"/>
        </w:rPr>
      </w:pPr>
    </w:p>
    <w:p w14:paraId="430718D4" w14:textId="2E3DBD3F" w:rsidR="002F2360" w:rsidRPr="000665EA" w:rsidRDefault="002F2360" w:rsidP="002F2360">
      <w:pPr>
        <w:pStyle w:val="CRCoverPage"/>
        <w:tabs>
          <w:tab w:val="left" w:pos="1985"/>
          <w:tab w:val="left" w:pos="2410"/>
        </w:tabs>
        <w:rPr>
          <w:rFonts w:cs="Arial"/>
          <w:b/>
          <w:bCs/>
          <w:sz w:val="24"/>
          <w:lang w:eastAsia="ja-JP"/>
        </w:rPr>
      </w:pPr>
      <w:r w:rsidRPr="001448B3">
        <w:rPr>
          <w:rFonts w:cs="Arial"/>
          <w:b/>
          <w:bCs/>
          <w:sz w:val="24"/>
        </w:rPr>
        <w:t>Agenda item:</w:t>
      </w:r>
      <w:r w:rsidRPr="001448B3">
        <w:rPr>
          <w:rFonts w:cs="Arial"/>
          <w:b/>
          <w:bCs/>
          <w:sz w:val="24"/>
        </w:rPr>
        <w:tab/>
      </w:r>
      <w:r w:rsidR="00004617">
        <w:rPr>
          <w:rFonts w:cs="Arial"/>
          <w:b/>
          <w:bCs/>
          <w:sz w:val="24"/>
        </w:rPr>
        <w:t>10.2</w:t>
      </w:r>
    </w:p>
    <w:p w14:paraId="02505283" w14:textId="580E680A"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p>
    <w:p w14:paraId="5E7A28BB" w14:textId="33C233A8"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2368EA">
        <w:rPr>
          <w:rFonts w:ascii="Arial" w:hAnsi="Arial" w:cs="Arial"/>
          <w:b/>
          <w:bCs/>
          <w:sz w:val="24"/>
        </w:rPr>
        <w:t>Near Failure Monitoring for LTM</w:t>
      </w:r>
      <w:r w:rsidR="00DD3DFE">
        <w:rPr>
          <w:rFonts w:ascii="Arial" w:hAnsi="Arial" w:cs="Arial"/>
          <w:b/>
          <w:bCs/>
          <w:sz w:val="24"/>
        </w:rPr>
        <w:t xml:space="preserve"> </w:t>
      </w:r>
      <w:r w:rsidR="00AE1024">
        <w:rPr>
          <w:rFonts w:ascii="Arial" w:hAnsi="Arial" w:cs="Arial"/>
          <w:b/>
          <w:bCs/>
          <w:sz w:val="24"/>
        </w:rPr>
        <w:t>and CHO with Candidate SCG(s)</w:t>
      </w:r>
    </w:p>
    <w:p w14:paraId="0F79702C" w14:textId="672732C2"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AE3EA6">
        <w:rPr>
          <w:rFonts w:ascii="Arial" w:hAnsi="Arial" w:cs="Arial"/>
          <w:b/>
          <w:bCs/>
          <w:sz w:val="24"/>
        </w:rPr>
        <w:t>Approval</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026C8DC6" w:rsidR="00DD1E32" w:rsidRPr="008A08E4" w:rsidRDefault="00DD1E32" w:rsidP="00DD1E32">
      <w:bookmarkStart w:id="1" w:name="_Hlk142286749"/>
      <w:r w:rsidRPr="008A08E4">
        <w:t xml:space="preserve">This </w:t>
      </w:r>
      <w:r w:rsidR="0094509B">
        <w:t>is an initial contribution related to MRO for LTM</w:t>
      </w:r>
      <w:r w:rsidR="00AE1024">
        <w:t xml:space="preserve"> and CHO with SCG(s)</w:t>
      </w:r>
      <w:r w:rsidR="0094509B">
        <w:t xml:space="preserve"> in Rel.19</w:t>
      </w:r>
      <w:r w:rsidRPr="008A08E4">
        <w:t>.</w:t>
      </w:r>
    </w:p>
    <w:bookmarkEnd w:id="1"/>
    <w:p w14:paraId="6E19A47A" w14:textId="77777777" w:rsidR="00607F1B" w:rsidRDefault="00607F1B" w:rsidP="00607F1B">
      <w:pPr>
        <w:pStyle w:val="Heading1"/>
        <w:tabs>
          <w:tab w:val="left" w:pos="2410"/>
        </w:tabs>
      </w:pPr>
      <w:r w:rsidRPr="000665EA">
        <w:t>2</w:t>
      </w:r>
      <w:r w:rsidRPr="000665EA">
        <w:tab/>
      </w:r>
      <w:r>
        <w:t>Discussion</w:t>
      </w:r>
    </w:p>
    <w:p w14:paraId="4362AE92" w14:textId="43DACA39"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w:t>
      </w:r>
      <w:r w:rsidR="00D47F32">
        <w:rPr>
          <w:rFonts w:eastAsiaTheme="minorEastAsia"/>
          <w:lang w:eastAsia="zh-CN"/>
        </w:rPr>
        <w:t>MRO</w:t>
      </w:r>
      <w:r w:rsidR="00FC195A">
        <w:rPr>
          <w:rFonts w:eastAsiaTheme="minorEastAsia"/>
          <w:lang w:eastAsia="zh-CN"/>
        </w:rPr>
        <w:t xml:space="preserve"> for LTM</w:t>
      </w:r>
    </w:p>
    <w:p w14:paraId="3BCFF1A1" w14:textId="237203D4" w:rsidR="0085379D" w:rsidRPr="0036037A" w:rsidRDefault="0085379D" w:rsidP="0085379D">
      <w:pPr>
        <w:pStyle w:val="Heading3"/>
        <w:rPr>
          <w:rFonts w:cs="Arial"/>
          <w:b/>
          <w:szCs w:val="28"/>
        </w:rPr>
      </w:pPr>
      <w:r w:rsidRPr="0036037A">
        <w:rPr>
          <w:rFonts w:cs="Arial"/>
          <w:szCs w:val="28"/>
        </w:rPr>
        <w:t xml:space="preserve">2.1.1 Agreements achieved in </w:t>
      </w:r>
      <w:proofErr w:type="gramStart"/>
      <w:r w:rsidRPr="0036037A">
        <w:rPr>
          <w:rFonts w:cs="Arial"/>
          <w:szCs w:val="28"/>
        </w:rPr>
        <w:t>RAN3</w:t>
      </w:r>
      <w:proofErr w:type="gramEnd"/>
      <w:r w:rsidRPr="0036037A">
        <w:rPr>
          <w:rFonts w:cs="Arial"/>
          <w:szCs w:val="28"/>
        </w:rPr>
        <w:t xml:space="preserve"> </w:t>
      </w:r>
    </w:p>
    <w:p w14:paraId="0DD1F755" w14:textId="034939FC" w:rsidR="004E193D" w:rsidRDefault="004E193D" w:rsidP="004E193D">
      <w:pPr>
        <w:rPr>
          <w:iCs/>
          <w:color w:val="000000" w:themeColor="text1"/>
          <w:sz w:val="22"/>
        </w:rPr>
      </w:pPr>
      <w:r>
        <w:rPr>
          <w:rFonts w:hint="eastAsia"/>
          <w:iCs/>
          <w:color w:val="000000" w:themeColor="text1"/>
          <w:sz w:val="22"/>
        </w:rPr>
        <w:t>T</w:t>
      </w:r>
      <w:r>
        <w:rPr>
          <w:iCs/>
          <w:color w:val="000000" w:themeColor="text1"/>
          <w:sz w:val="22"/>
        </w:rPr>
        <w:t xml:space="preserve">he agreements achieved in </w:t>
      </w:r>
      <w:r w:rsidRPr="00E66210">
        <w:rPr>
          <w:rFonts w:hint="eastAsia"/>
          <w:iCs/>
          <w:color w:val="000000" w:themeColor="text1"/>
          <w:sz w:val="22"/>
        </w:rPr>
        <w:t>R</w:t>
      </w:r>
      <w:r w:rsidRPr="00E66210">
        <w:rPr>
          <w:iCs/>
          <w:color w:val="000000" w:themeColor="text1"/>
          <w:sz w:val="22"/>
        </w:rPr>
        <w:t>AN</w:t>
      </w:r>
      <w:r w:rsidR="00146A08">
        <w:rPr>
          <w:iCs/>
          <w:color w:val="000000" w:themeColor="text1"/>
          <w:sz w:val="22"/>
        </w:rPr>
        <w:t xml:space="preserve"> #12</w:t>
      </w:r>
      <w:r w:rsidR="00CB47ED">
        <w:rPr>
          <w:iCs/>
          <w:color w:val="000000" w:themeColor="text1"/>
          <w:sz w:val="22"/>
        </w:rPr>
        <w:t>0</w:t>
      </w:r>
      <w:r w:rsidR="00713AD7">
        <w:rPr>
          <w:iCs/>
          <w:color w:val="000000" w:themeColor="text1"/>
          <w:sz w:val="22"/>
        </w:rPr>
        <w:t xml:space="preserve"> [1]</w:t>
      </w:r>
      <w:r>
        <w:rPr>
          <w:iCs/>
          <w:color w:val="000000" w:themeColor="text1"/>
          <w:sz w:val="22"/>
        </w:rPr>
        <w:t>:</w:t>
      </w:r>
    </w:p>
    <w:p w14:paraId="421CC053" w14:textId="7CBE0CE2" w:rsidR="00146A08" w:rsidRPr="00146A08" w:rsidRDefault="00146A08" w:rsidP="00146A08">
      <w:pPr>
        <w:spacing w:before="120" w:line="280" w:lineRule="atLeast"/>
        <w:rPr>
          <w:rFonts w:eastAsia="SimSun"/>
          <w:color w:val="00B050"/>
        </w:rPr>
      </w:pPr>
      <w:r w:rsidRPr="00146A08">
        <w:rPr>
          <w:rFonts w:eastAsia="SimSun"/>
          <w:color w:val="00B050"/>
        </w:rPr>
        <w:t xml:space="preserve">As part of the </w:t>
      </w:r>
      <w:r w:rsidRPr="00146A08">
        <w:rPr>
          <w:color w:val="00B050"/>
        </w:rPr>
        <w:t>NR_ENDC_SON_MDT_Ph4-Core WI the following objective was agreed:</w:t>
      </w:r>
    </w:p>
    <w:p w14:paraId="0B7FE2AE" w14:textId="0FEAE9EC" w:rsidR="00146A08" w:rsidRPr="00146A08" w:rsidRDefault="00146A08" w:rsidP="00146A08">
      <w:pPr>
        <w:spacing w:before="120" w:line="280" w:lineRule="atLeast"/>
        <w:rPr>
          <w:rFonts w:eastAsia="SimSun"/>
          <w:color w:val="00B050"/>
        </w:rPr>
      </w:pPr>
      <w:r w:rsidRPr="00146A08">
        <w:rPr>
          <w:rFonts w:eastAsia="SimSun"/>
          <w:color w:val="00B050"/>
        </w:rPr>
        <w:t>MRO enhancement for R18 mobility mechanisms, including</w:t>
      </w:r>
      <w:r w:rsidRPr="00146A08">
        <w:rPr>
          <w:rFonts w:hint="eastAsia"/>
          <w:color w:val="00B050"/>
        </w:rPr>
        <w:t xml:space="preserve">, </w:t>
      </w:r>
      <w:r w:rsidRPr="00146A08">
        <w:rPr>
          <w:rFonts w:eastAsia="SimSun"/>
          <w:color w:val="00B050"/>
        </w:rPr>
        <w:t>Lower layer triggered mobility (LTM), CHO with candidate SCGs, subsequent CPAC [RAN3, RAN2]:</w:t>
      </w:r>
    </w:p>
    <w:p w14:paraId="4427D5AC" w14:textId="77777777" w:rsidR="00146A08" w:rsidRPr="00146A08" w:rsidRDefault="00146A08" w:rsidP="00146A08">
      <w:pPr>
        <w:pStyle w:val="ListParagraph"/>
        <w:numPr>
          <w:ilvl w:val="0"/>
          <w:numId w:val="39"/>
        </w:numPr>
        <w:spacing w:before="120" w:after="160" w:line="280" w:lineRule="atLeast"/>
        <w:rPr>
          <w:rFonts w:eastAsia="SimSun"/>
          <w:color w:val="00B050"/>
        </w:rPr>
      </w:pPr>
      <w:r w:rsidRPr="00146A08">
        <w:rPr>
          <w:rFonts w:eastAsia="SimSun"/>
          <w:color w:val="00B050"/>
        </w:rPr>
        <w:t xml:space="preserve">Specification of the inter-node information exchange, including possible enhancements to interfaces    </w:t>
      </w:r>
      <w:r w:rsidRPr="00146A08">
        <w:rPr>
          <w:rFonts w:eastAsia="SimSun"/>
          <w:color w:val="00B050"/>
        </w:rPr>
        <w:br/>
        <w:t>[RAN3]</w:t>
      </w:r>
    </w:p>
    <w:p w14:paraId="473D049F" w14:textId="77777777" w:rsidR="00146A08" w:rsidRPr="00146A08" w:rsidRDefault="00146A08" w:rsidP="00146A08">
      <w:pPr>
        <w:pStyle w:val="ListParagraph"/>
        <w:numPr>
          <w:ilvl w:val="0"/>
          <w:numId w:val="39"/>
        </w:numPr>
        <w:spacing w:before="120" w:after="160" w:line="280" w:lineRule="atLeast"/>
        <w:rPr>
          <w:rFonts w:eastAsia="SimSun"/>
          <w:color w:val="00B050"/>
        </w:rPr>
      </w:pPr>
      <w:r w:rsidRPr="00146A08">
        <w:rPr>
          <w:rFonts w:eastAsia="SimSun" w:hint="eastAsia"/>
          <w:color w:val="00B050"/>
        </w:rPr>
        <w:t>Identify and specify necessary UE reporting to enhance the mobility parameter tuning</w:t>
      </w:r>
      <w:r w:rsidRPr="00146A08">
        <w:rPr>
          <w:rFonts w:eastAsia="SimSun"/>
          <w:color w:val="00B050"/>
        </w:rPr>
        <w:t> [RAN2]</w:t>
      </w:r>
    </w:p>
    <w:p w14:paraId="5A946F54" w14:textId="77777777" w:rsidR="00146A08" w:rsidRPr="00146A08" w:rsidRDefault="00146A08" w:rsidP="004E193D">
      <w:pPr>
        <w:rPr>
          <w:iCs/>
          <w:color w:val="000000" w:themeColor="text1"/>
          <w:sz w:val="22"/>
          <w:lang w:val="en-US"/>
        </w:rPr>
      </w:pPr>
    </w:p>
    <w:p w14:paraId="5E243D0E" w14:textId="77777777" w:rsidR="00DC1F0D" w:rsidRDefault="00E4122E" w:rsidP="00DC1F0D">
      <w:pPr>
        <w:pStyle w:val="Heading2"/>
        <w:ind w:left="567" w:hanging="567"/>
      </w:pPr>
      <w:r w:rsidRPr="00DC1F0D">
        <w:rPr>
          <w:rFonts w:cs="Arial"/>
          <w:sz w:val="28"/>
          <w:szCs w:val="28"/>
        </w:rPr>
        <w:t>2.</w:t>
      </w:r>
      <w:r w:rsidR="004E193D" w:rsidRPr="00DC1F0D">
        <w:rPr>
          <w:rFonts w:cs="Arial"/>
          <w:sz w:val="28"/>
          <w:szCs w:val="28"/>
        </w:rPr>
        <w:t>1</w:t>
      </w:r>
      <w:r w:rsidRPr="00DC1F0D">
        <w:rPr>
          <w:rFonts w:cs="Arial"/>
          <w:sz w:val="28"/>
          <w:szCs w:val="28"/>
        </w:rPr>
        <w:t>.2</w:t>
      </w:r>
      <w:r w:rsidRPr="0036037A">
        <w:rPr>
          <w:rFonts w:cs="Arial"/>
          <w:szCs w:val="28"/>
        </w:rPr>
        <w:t xml:space="preserve"> </w:t>
      </w:r>
      <w:r w:rsidR="00DC1F0D" w:rsidRPr="00DC1F0D">
        <w:rPr>
          <w:rFonts w:cs="Arial"/>
          <w:sz w:val="28"/>
          <w:szCs w:val="28"/>
        </w:rPr>
        <w:t>3GPP Release 18 Mobility Enhancements - L1/L2 Triggered Mobility (LTM)</w:t>
      </w:r>
    </w:p>
    <w:p w14:paraId="47A26640" w14:textId="029177A4" w:rsidR="00DC1F0D" w:rsidRDefault="00DC1F0D" w:rsidP="00DC1F0D">
      <w:r>
        <w:t>When the UE moves from the coverage area of one cell to another cell, a serving cell change needs to be performed at some point. Currently serving cell change is triggered by Layer 3 (L3) measurements (RRC Measurement Report from UE) and is done by downlink RRC signal</w:t>
      </w:r>
      <w:r w:rsidR="00190F4B">
        <w:t>l</w:t>
      </w:r>
      <w:r>
        <w:t>ing, i.e., RRC Reconfiguration message with Synchronization for change of Primary Cell (</w:t>
      </w:r>
      <w:proofErr w:type="spellStart"/>
      <w:r>
        <w:t>PCell</w:t>
      </w:r>
      <w:proofErr w:type="spellEnd"/>
      <w:r>
        <w:t>) and Primary Secondary Cell (</w:t>
      </w:r>
      <w:proofErr w:type="spellStart"/>
      <w:r>
        <w:t>PSCell</w:t>
      </w:r>
      <w:proofErr w:type="spellEnd"/>
      <w:r>
        <w:t>), as well as release and add for Secondary Cells (</w:t>
      </w:r>
      <w:proofErr w:type="spellStart"/>
      <w:r>
        <w:t>SCell</w:t>
      </w:r>
      <w:proofErr w:type="spellEnd"/>
      <w:r>
        <w:t>)s when applicable. All cases involve complete L2 (and L1) resets, leading to longer latency, larger overhead, and longer interruption time than beam switch mobility. The goal of L1/L2 mobility enhancements is to enable a serving cell change via L1/L2 signa</w:t>
      </w:r>
      <w:r w:rsidR="00190F4B">
        <w:t>l</w:t>
      </w:r>
      <w:r>
        <w:t xml:space="preserve">ling, to reduce the latency, overhead and interruption time. </w:t>
      </w:r>
    </w:p>
    <w:p w14:paraId="3C396F81" w14:textId="77777777" w:rsidR="00DC1F0D" w:rsidRDefault="00DC1F0D" w:rsidP="00DC1F0D">
      <w:r>
        <w:t xml:space="preserve">LTM is a procedure in which a </w:t>
      </w:r>
      <w:proofErr w:type="spellStart"/>
      <w:r>
        <w:t>gN</w:t>
      </w:r>
      <w:r>
        <w:rPr>
          <w:rFonts w:hint="eastAsia"/>
        </w:rPr>
        <w:t>B</w:t>
      </w:r>
      <w:proofErr w:type="spellEnd"/>
      <w:r>
        <w:t xml:space="preserve"> receives L1 measurement report(s) from a UE, and on their basis the </w:t>
      </w:r>
      <w:proofErr w:type="spellStart"/>
      <w:r>
        <w:t>gNB</w:t>
      </w:r>
      <w:proofErr w:type="spellEnd"/>
      <w:r>
        <w:t xml:space="preserve"> changes UE’s serving cell by a cell switch command signalled via a MAC CE. The cell switch command indicates an LTM candidate cell configuration that the </w:t>
      </w:r>
      <w:proofErr w:type="spellStart"/>
      <w:r>
        <w:t>gNB</w:t>
      </w:r>
      <w:proofErr w:type="spellEnd"/>
      <w:r>
        <w:t xml:space="preserve"> previously prepared and provided to the UE through RRC signalling. Then the UE switches to the target cell according to the cell switch command. The LTM procedure can be used to reduce the mobility latency.</w:t>
      </w:r>
    </w:p>
    <w:p w14:paraId="027781EE" w14:textId="77777777" w:rsidR="00DC1F0D" w:rsidRDefault="00DC1F0D" w:rsidP="00DC1F0D">
      <w:r>
        <w:lastRenderedPageBreak/>
        <w:t xml:space="preserve">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w:t>
      </w:r>
    </w:p>
    <w:p w14:paraId="38F8BABD" w14:textId="159BA6E8" w:rsidR="00667057" w:rsidRPr="006D31DC" w:rsidRDefault="00667057" w:rsidP="00667057">
      <w:pPr>
        <w:pStyle w:val="TH"/>
        <w:overflowPunct w:val="0"/>
        <w:autoSpaceDE w:val="0"/>
        <w:autoSpaceDN w:val="0"/>
        <w:adjustRightInd w:val="0"/>
        <w:spacing w:line="300" w:lineRule="auto"/>
        <w:textAlignment w:val="baseline"/>
        <w:rPr>
          <w:i/>
        </w:rPr>
      </w:pPr>
      <w:r w:rsidRPr="006D31DC">
        <w:rPr>
          <w:i/>
        </w:rPr>
        <w:object w:dxaOrig="9640" w:dyaOrig="14135" w14:anchorId="798D5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587.5pt" o:ole="">
            <v:imagedata r:id="rId14" o:title=""/>
          </v:shape>
          <o:OLEObject Type="Embed" ProgID="Mscgen.Chart" ShapeID="_x0000_i1025" DrawAspect="Content" ObjectID="_1773817155" r:id="rId15"/>
        </w:object>
      </w:r>
    </w:p>
    <w:p w14:paraId="3920AA32" w14:textId="03065501" w:rsidR="00667057" w:rsidRPr="006D31DC" w:rsidRDefault="00667057" w:rsidP="00667057">
      <w:pPr>
        <w:pStyle w:val="TF"/>
        <w:overflowPunct w:val="0"/>
        <w:autoSpaceDE w:val="0"/>
        <w:autoSpaceDN w:val="0"/>
        <w:adjustRightInd w:val="0"/>
        <w:spacing w:line="300" w:lineRule="auto"/>
        <w:textAlignment w:val="baseline"/>
        <w:rPr>
          <w:i/>
          <w:lang w:val="en-US" w:eastAsia="zh-CN"/>
        </w:rPr>
      </w:pPr>
      <w:r w:rsidRPr="006D31DC">
        <w:rPr>
          <w:i/>
          <w:lang w:eastAsia="ja-JP"/>
        </w:rPr>
        <w:t xml:space="preserve">Figure </w:t>
      </w:r>
      <w:r w:rsidR="00F66FC6">
        <w:rPr>
          <w:i/>
          <w:lang w:eastAsia="ja-JP"/>
        </w:rPr>
        <w:t>1</w:t>
      </w:r>
      <w:r w:rsidRPr="006D31DC">
        <w:rPr>
          <w:i/>
          <w:lang w:val="en-US" w:eastAsia="zh-CN"/>
        </w:rPr>
        <w:t>: Inter-</w:t>
      </w:r>
      <w:proofErr w:type="spellStart"/>
      <w:r w:rsidRPr="006D31DC">
        <w:rPr>
          <w:i/>
          <w:lang w:val="en-US" w:eastAsia="zh-CN"/>
        </w:rPr>
        <w:t>gNB</w:t>
      </w:r>
      <w:proofErr w:type="spellEnd"/>
      <w:r w:rsidRPr="006D31DC">
        <w:rPr>
          <w:i/>
          <w:lang w:val="en-US" w:eastAsia="zh-CN"/>
        </w:rPr>
        <w:t>-DU LTM</w:t>
      </w:r>
    </w:p>
    <w:p w14:paraId="2B3B5DAA" w14:textId="77777777" w:rsidR="00667057" w:rsidRDefault="00667057" w:rsidP="00667057">
      <w:r>
        <w:t xml:space="preserve">When configured by the network, it is possible to initiate UL TA acquisition procedure to one or multiple cells that are different from the current serving cell. For instance, the network may request the UE to perform early TA acquisition of </w:t>
      </w:r>
      <w:r>
        <w:lastRenderedPageBreak/>
        <w:t xml:space="preserve">a candidate cell before a cell switch. The early TA acquisition is triggered by PDCCH order as specified in clause 9.2.6 (3GPP TS 38.300) or realized through UE-based TA measurement. In the former case, the </w:t>
      </w:r>
      <w:proofErr w:type="spellStart"/>
      <w:r>
        <w:t>gNB</w:t>
      </w:r>
      <w:proofErr w:type="spellEnd"/>
      <w:r>
        <w:t xml:space="preserve"> to which the candidate cell belongs calculates the TA value and sends it to the </w:t>
      </w:r>
      <w:proofErr w:type="spellStart"/>
      <w:r>
        <w:t>gNB</w:t>
      </w:r>
      <w:proofErr w:type="spellEnd"/>
      <w:r>
        <w:t xml:space="preserve"> to which the serving cell belongs. The serving cell sends the TA value in the LTM cell switch command MAC CE when triggering LTM cell switch. In the latter case, the UE applies the TA value measured by itself and performs RACH-less LTM upon receiving the cell switch command.</w:t>
      </w:r>
    </w:p>
    <w:p w14:paraId="1F84FE41" w14:textId="332068C3" w:rsidR="00667057" w:rsidRDefault="00667057" w:rsidP="00667057">
      <w:r>
        <w:t xml:space="preserve">If UE-based TA measurement is configured, UE performs RACH-less LTM upon receiving the cell switch command. Otherwise, UE determines whether to access the target cell with the RA procedure depending on whether a TA value is provided in the cell switch command. For RACH-less LTM, the UE accesses the target cell via a configured grant provided in the LTM candidate cell configuration and selects the configured grant occasion associated with the beam indicated in the cell switch command. If the LTM candidate cell configuration does not include a configured grant, the UE monitors PDCCH for dynamic scheduling from the target cell upon LTM cell switch. Before RACH-less LTM procedure completion, the UE shall not trigger random access procedure if it does not have a valid PUCCH resource for triggered SRs. </w:t>
      </w:r>
    </w:p>
    <w:p w14:paraId="4C1ABFA1" w14:textId="1A99C3A9" w:rsidR="00667057" w:rsidRDefault="00F66FC6" w:rsidP="00667057">
      <w:r>
        <w:t>In Fig.1</w:t>
      </w:r>
      <w:r w:rsidR="00667057">
        <w:t xml:space="preserve"> an extraction from the 3GPP 38.401 (R3 -238088) of the LTM concept which approved for inter DU scenario in Rel. 18</w:t>
      </w:r>
      <w:r>
        <w:t xml:space="preserve"> is shown</w:t>
      </w:r>
      <w:r w:rsidR="00667057">
        <w:t>.</w:t>
      </w:r>
    </w:p>
    <w:p w14:paraId="49FEF6A0" w14:textId="5BD90FCE" w:rsidR="00FF3E4F" w:rsidRDefault="00FF3E4F" w:rsidP="00FF3E4F">
      <w:pPr>
        <w:pStyle w:val="Heading3"/>
        <w:rPr>
          <w:rFonts w:cs="Arial"/>
          <w:szCs w:val="28"/>
        </w:rPr>
      </w:pPr>
      <w:r w:rsidRPr="00A31433">
        <w:rPr>
          <w:rFonts w:cs="Arial"/>
          <w:szCs w:val="28"/>
        </w:rPr>
        <w:t>2.1.</w:t>
      </w:r>
      <w:r>
        <w:rPr>
          <w:rFonts w:cs="Arial"/>
          <w:szCs w:val="28"/>
        </w:rPr>
        <w:t>3</w:t>
      </w:r>
      <w:r w:rsidRPr="00A31433">
        <w:rPr>
          <w:rFonts w:cs="Arial"/>
          <w:szCs w:val="28"/>
        </w:rPr>
        <w:t xml:space="preserve"> </w:t>
      </w:r>
      <w:r w:rsidR="001D0C9C">
        <w:rPr>
          <w:rFonts w:cs="Arial"/>
          <w:szCs w:val="28"/>
        </w:rPr>
        <w:t>SHR for LTM</w:t>
      </w:r>
    </w:p>
    <w:p w14:paraId="465895F3" w14:textId="55ADCC91" w:rsidR="00F50DEB" w:rsidRDefault="00F50DEB" w:rsidP="00F50DEB">
      <w:r w:rsidRPr="00F50DEB">
        <w:t>With 3GPP Rel-17 for the intra-NR mobility</w:t>
      </w:r>
      <w:r>
        <w:t xml:space="preserve"> and consequent extension for inter RAT mobility in Rel. 18</w:t>
      </w:r>
      <w:r w:rsidRPr="00F50DEB">
        <w:t>, the MRO concept based on RLFs has been extended towards the logging of risky or failed but recovered mobility cases which finally resulted in success handover by providing a successful handover report (SHR).</w:t>
      </w:r>
      <w:r w:rsidR="00843722">
        <w:t xml:space="preserve"> LTM intends to allow intra NR mobility based on L1/L2 measurements instead of legacy L3 measurements. The e</w:t>
      </w:r>
      <w:r w:rsidR="008D3190">
        <w:t>n</w:t>
      </w:r>
      <w:r w:rsidR="00843722">
        <w:t>d user shall not perceive any difference from the perspective of dropped services between those two mobility principles.</w:t>
      </w:r>
    </w:p>
    <w:p w14:paraId="0E39657B" w14:textId="1C511A3D" w:rsidR="00843722" w:rsidRDefault="00843722" w:rsidP="00843722">
      <w:pPr>
        <w:jc w:val="both"/>
      </w:pPr>
      <w:r w:rsidRPr="00DA1DDF">
        <w:rPr>
          <w:b/>
          <w:bCs/>
        </w:rPr>
        <w:t xml:space="preserve">Observation </w:t>
      </w:r>
      <w:r>
        <w:rPr>
          <w:b/>
          <w:bCs/>
        </w:rPr>
        <w:t>1</w:t>
      </w:r>
      <w:r w:rsidRPr="00DA1DDF">
        <w:rPr>
          <w:b/>
          <w:bCs/>
        </w:rPr>
        <w:t>:</w:t>
      </w:r>
      <w:r>
        <w:t xml:space="preserve"> The MRO concept including near failure monitoring is applicable also for LTM. </w:t>
      </w:r>
    </w:p>
    <w:p w14:paraId="3FAED5A5" w14:textId="0551736C" w:rsidR="0022458A" w:rsidRDefault="0022458A" w:rsidP="0022458A">
      <w:pPr>
        <w:jc w:val="both"/>
      </w:pPr>
      <w:r>
        <w:rPr>
          <w:b/>
          <w:bCs/>
        </w:rPr>
        <w:t>Proposal</w:t>
      </w:r>
      <w:r w:rsidRPr="00DA1DDF">
        <w:rPr>
          <w:b/>
          <w:bCs/>
        </w:rPr>
        <w:t xml:space="preserve"> </w:t>
      </w:r>
      <w:r>
        <w:rPr>
          <w:b/>
          <w:bCs/>
        </w:rPr>
        <w:t>1</w:t>
      </w:r>
      <w:r w:rsidRPr="00DA1DDF">
        <w:rPr>
          <w:b/>
          <w:bCs/>
        </w:rPr>
        <w:t>:</w:t>
      </w:r>
      <w:r>
        <w:t xml:space="preserve"> </w:t>
      </w:r>
      <w:r w:rsidRPr="0022458A">
        <w:t>RAN3 agrees to extend SHR also to LTM</w:t>
      </w:r>
      <w:r>
        <w:t xml:space="preserve">. </w:t>
      </w:r>
    </w:p>
    <w:p w14:paraId="406CBC11" w14:textId="3339AB8C" w:rsidR="009D2D87" w:rsidRDefault="009D2D87" w:rsidP="009D2D87">
      <w:pPr>
        <w:jc w:val="both"/>
      </w:pPr>
      <w:r>
        <w:t xml:space="preserve">As defined in the chapter 5.7.10.6 of the TS 38.331 the UE only logs SHR, if SHR configuration is received </w:t>
      </w:r>
      <w:proofErr w:type="gramStart"/>
      <w:r>
        <w:t>previous to</w:t>
      </w:r>
      <w:proofErr w:type="gramEnd"/>
      <w:r>
        <w:t xml:space="preserve"> the handover, the handover is successfully executed (i.e. the procedure triggered with RRC Connection reconfiguration with synchronization is successfully completed) and at least one of the following criteria is satisfied: </w:t>
      </w:r>
    </w:p>
    <w:p w14:paraId="2677A86D" w14:textId="77777777" w:rsidR="009D2D87" w:rsidRDefault="009D2D87" w:rsidP="009D2D87">
      <w:pPr>
        <w:pStyle w:val="ListParagraph"/>
        <w:numPr>
          <w:ilvl w:val="0"/>
          <w:numId w:val="41"/>
        </w:numPr>
        <w:spacing w:after="0"/>
        <w:jc w:val="both"/>
      </w:pPr>
      <w:r>
        <w:t>T310 timer of the UE exceeds the configured threshold by the source node,</w:t>
      </w:r>
    </w:p>
    <w:p w14:paraId="578525AD" w14:textId="77777777" w:rsidR="009D2D87" w:rsidRDefault="009D2D87" w:rsidP="009D2D87">
      <w:pPr>
        <w:pStyle w:val="ListParagraph"/>
        <w:numPr>
          <w:ilvl w:val="0"/>
          <w:numId w:val="41"/>
        </w:numPr>
        <w:spacing w:after="0"/>
        <w:jc w:val="both"/>
      </w:pPr>
      <w:r>
        <w:t>T312 timer of the UE exceeds the configured threshold by the source node,</w:t>
      </w:r>
    </w:p>
    <w:p w14:paraId="2A035403" w14:textId="77777777" w:rsidR="009D2D87" w:rsidRDefault="009D2D87" w:rsidP="009D2D87">
      <w:pPr>
        <w:pStyle w:val="ListParagraph"/>
        <w:numPr>
          <w:ilvl w:val="0"/>
          <w:numId w:val="41"/>
        </w:numPr>
        <w:spacing w:after="0"/>
        <w:jc w:val="both"/>
      </w:pPr>
      <w:r>
        <w:t>T304 timer of the UE exceeds the configured threshold by the target node.</w:t>
      </w:r>
    </w:p>
    <w:p w14:paraId="2D809D16" w14:textId="77777777" w:rsidR="00761EE9" w:rsidRDefault="00761EE9" w:rsidP="00F50DEB">
      <w:pPr>
        <w:rPr>
          <w:lang w:val="en-US"/>
        </w:rPr>
      </w:pPr>
      <w:r>
        <w:rPr>
          <w:lang w:val="en-US"/>
        </w:rPr>
        <w:t xml:space="preserve"> </w:t>
      </w:r>
    </w:p>
    <w:p w14:paraId="24D3B728" w14:textId="62644E1E" w:rsidR="00843722" w:rsidRPr="009D2D87" w:rsidRDefault="00761EE9" w:rsidP="00F50DEB">
      <w:pPr>
        <w:rPr>
          <w:lang w:val="en-US"/>
        </w:rPr>
      </w:pPr>
      <w:r>
        <w:rPr>
          <w:lang w:val="en-US"/>
        </w:rPr>
        <w:t>As indicated in previous chapter LTM Cell switch is triggered on sending the Cell Switch Command (MAC CE) and not RRC Connection Reconfiguration with synchronization.</w:t>
      </w:r>
    </w:p>
    <w:p w14:paraId="05BA84DE" w14:textId="73C638FD" w:rsidR="00761EE9" w:rsidRDefault="00761EE9" w:rsidP="00761EE9">
      <w:pPr>
        <w:jc w:val="both"/>
      </w:pPr>
      <w:r w:rsidRPr="00DA1DDF">
        <w:rPr>
          <w:b/>
          <w:bCs/>
        </w:rPr>
        <w:t xml:space="preserve">Observation </w:t>
      </w:r>
      <w:r>
        <w:rPr>
          <w:b/>
          <w:bCs/>
        </w:rPr>
        <w:t>2</w:t>
      </w:r>
      <w:r w:rsidRPr="00DA1DDF">
        <w:rPr>
          <w:b/>
          <w:bCs/>
        </w:rPr>
        <w:t>:</w:t>
      </w:r>
      <w:r>
        <w:t xml:space="preserve"> The current SHR definition does not allow LTM monitoring. </w:t>
      </w:r>
    </w:p>
    <w:p w14:paraId="4B95CE0A" w14:textId="6AC70BB4" w:rsidR="003332CA" w:rsidRDefault="003332CA" w:rsidP="003332CA">
      <w:pPr>
        <w:jc w:val="both"/>
      </w:pPr>
      <w:r>
        <w:rPr>
          <w:b/>
          <w:bCs/>
        </w:rPr>
        <w:t>Proposal</w:t>
      </w:r>
      <w:r w:rsidRPr="00DA1DDF">
        <w:rPr>
          <w:b/>
          <w:bCs/>
        </w:rPr>
        <w:t xml:space="preserve"> </w:t>
      </w:r>
      <w:r>
        <w:rPr>
          <w:b/>
          <w:bCs/>
        </w:rPr>
        <w:t>2</w:t>
      </w:r>
      <w:r w:rsidRPr="00DA1DDF">
        <w:rPr>
          <w:b/>
          <w:bCs/>
        </w:rPr>
        <w:t>:</w:t>
      </w:r>
      <w:r>
        <w:t xml:space="preserve"> </w:t>
      </w:r>
      <w:r w:rsidRPr="0022458A">
        <w:t xml:space="preserve">RAN3 agrees to extend SHR </w:t>
      </w:r>
      <w:r>
        <w:t>definition to cover also monitoring of the</w:t>
      </w:r>
      <w:r w:rsidRPr="0022458A">
        <w:t xml:space="preserve"> LTM</w:t>
      </w:r>
      <w:r>
        <w:t xml:space="preserve">, i.e. including the successful completion of the procedure based on sending the Cell Switch Command (MAC CE) into TS 38.331. </w:t>
      </w:r>
    </w:p>
    <w:p w14:paraId="3C322FD2" w14:textId="63C17422" w:rsidR="006B73E1" w:rsidRDefault="00F14B14" w:rsidP="006B73E1">
      <w:pPr>
        <w:rPr>
          <w:rStyle w:val="ui-provider"/>
        </w:rPr>
      </w:pPr>
      <w:r>
        <w:t xml:space="preserve">Regarding the SHR triggers in principle all of them may apply also for LTM. There was discussion in RAN2 whether also T304 shall be used </w:t>
      </w:r>
      <w:r>
        <w:rPr>
          <w:rStyle w:val="ui-provider"/>
        </w:rPr>
        <w:t>to supervision the LTM cell switch procedure. Based on the RAN2 # 123 meeting outcome it was agreed to use T304 also for LTM. The open point was whether dedicated T304 timer shall be used.</w:t>
      </w:r>
      <w:r w:rsidR="005C0423">
        <w:rPr>
          <w:rStyle w:val="ui-provider"/>
        </w:rPr>
        <w:t xml:space="preserve"> The fact that LTM Cell switch shall primarily be triggered as RACH-less procedure</w:t>
      </w:r>
      <w:r w:rsidR="00392386">
        <w:rPr>
          <w:rStyle w:val="ui-provider"/>
        </w:rPr>
        <w:t xml:space="preserve"> indicates dedicated T304 value shall be configured for LTM.</w:t>
      </w:r>
    </w:p>
    <w:p w14:paraId="7E12F1EE" w14:textId="372673DF" w:rsidR="00392386" w:rsidRDefault="00392386" w:rsidP="00392386">
      <w:pPr>
        <w:jc w:val="both"/>
      </w:pPr>
      <w:r>
        <w:rPr>
          <w:b/>
          <w:bCs/>
        </w:rPr>
        <w:t>Proposal</w:t>
      </w:r>
      <w:r w:rsidRPr="00DA1DDF">
        <w:rPr>
          <w:b/>
          <w:bCs/>
        </w:rPr>
        <w:t xml:space="preserve"> </w:t>
      </w:r>
      <w:r>
        <w:rPr>
          <w:b/>
          <w:bCs/>
        </w:rPr>
        <w:t>3</w:t>
      </w:r>
      <w:r w:rsidRPr="00DA1DDF">
        <w:rPr>
          <w:b/>
          <w:bCs/>
        </w:rPr>
        <w:t>:</w:t>
      </w:r>
      <w:r>
        <w:t xml:space="preserve"> </w:t>
      </w:r>
      <w:r w:rsidRPr="0022458A">
        <w:t xml:space="preserve">RAN3 agrees to </w:t>
      </w:r>
      <w:r>
        <w:t xml:space="preserve">send LS to RAN2 (RAN1 in CC) to double check the T304 and possible dedicated value for LTM. </w:t>
      </w:r>
    </w:p>
    <w:p w14:paraId="2F5013B1" w14:textId="368E605B" w:rsidR="007B393A" w:rsidRDefault="007B393A" w:rsidP="007B393A">
      <w:r>
        <w:t xml:space="preserve">Main benefits of the LTM shall be seen in avoiding the complete reset of L3, avoiding RACH procedure which shall result into reduction of the interruption time. The interruption time is significantly impacted with RACH procedure. In case the TA of the candidate target LTM cell is not included into Cell Switch Command (MAC CE) the UE will initiate the legacy RACH procedure to access the target candidate cell. Despite the procedure can be monitored by means </w:t>
      </w:r>
      <w:proofErr w:type="gramStart"/>
      <w:r>
        <w:t>of  T</w:t>
      </w:r>
      <w:proofErr w:type="gramEnd"/>
      <w:r>
        <w:t>304 timer, but the quality in terms of having it in a RACH-less manner is not considered. However, it is essential to get information whether the cell change occurred RACH-less which is key for LTM.</w:t>
      </w:r>
    </w:p>
    <w:p w14:paraId="3C1DD222" w14:textId="474DE519" w:rsidR="00D80E3A" w:rsidRDefault="007B393A" w:rsidP="00D80E3A">
      <w:pPr>
        <w:jc w:val="both"/>
      </w:pPr>
      <w:r>
        <w:lastRenderedPageBreak/>
        <w:t xml:space="preserve"> </w:t>
      </w:r>
      <w:r w:rsidR="00D80E3A">
        <w:t xml:space="preserve">On the other hand, in case the </w:t>
      </w:r>
      <w:r w:rsidR="00D80E3A" w:rsidRPr="001C285D">
        <w:t xml:space="preserve">RACH-less </w:t>
      </w:r>
      <w:r w:rsidR="00D80E3A">
        <w:t xml:space="preserve">cell change </w:t>
      </w:r>
      <w:r w:rsidR="00D80E3A" w:rsidRPr="001C285D">
        <w:t>is triggered</w:t>
      </w:r>
      <w:r w:rsidR="00D80E3A">
        <w:t xml:space="preserve">, i.e. MAC-CE </w:t>
      </w:r>
      <w:proofErr w:type="spellStart"/>
      <w:r w:rsidR="00D80E3A">
        <w:t>msg</w:t>
      </w:r>
      <w:proofErr w:type="spellEnd"/>
      <w:r w:rsidR="00D80E3A">
        <w:t xml:space="preserve"> contains TA, the first </w:t>
      </w:r>
      <w:r w:rsidR="00D80E3A" w:rsidRPr="001C285D">
        <w:t xml:space="preserve">UL transmission </w:t>
      </w:r>
      <w:r w:rsidR="00D80E3A">
        <w:t xml:space="preserve">is done in RLC AM. </w:t>
      </w:r>
      <w:r w:rsidR="007B02A5">
        <w:t>So,</w:t>
      </w:r>
      <w:r w:rsidR="00D80E3A">
        <w:t xml:space="preserve"> it ma</w:t>
      </w:r>
      <w:r w:rsidR="005724B9">
        <w:t>y</w:t>
      </w:r>
      <w:r w:rsidR="00D80E3A">
        <w:t xml:space="preserve"> </w:t>
      </w:r>
      <w:r w:rsidR="005724B9">
        <w:t>require</w:t>
      </w:r>
      <w:r w:rsidR="00D80E3A" w:rsidRPr="001C285D">
        <w:t xml:space="preserve"> several </w:t>
      </w:r>
      <w:r w:rsidR="00D80E3A">
        <w:t xml:space="preserve">RLC </w:t>
      </w:r>
      <w:r w:rsidR="00D80E3A" w:rsidRPr="001C285D">
        <w:t>retransmissions</w:t>
      </w:r>
      <w:r w:rsidR="00D80E3A">
        <w:t xml:space="preserve"> to get the transmission through.</w:t>
      </w:r>
    </w:p>
    <w:p w14:paraId="7CFB0BDF" w14:textId="5F133359" w:rsidR="00B13962" w:rsidRDefault="00B13962" w:rsidP="00B13962">
      <w:pPr>
        <w:jc w:val="both"/>
      </w:pPr>
      <w:r w:rsidRPr="00DA1DDF">
        <w:rPr>
          <w:b/>
          <w:bCs/>
        </w:rPr>
        <w:t xml:space="preserve">Observation </w:t>
      </w:r>
      <w:r>
        <w:rPr>
          <w:b/>
          <w:bCs/>
        </w:rPr>
        <w:t>3</w:t>
      </w:r>
      <w:r w:rsidRPr="00DA1DDF">
        <w:rPr>
          <w:b/>
          <w:bCs/>
        </w:rPr>
        <w:t>:</w:t>
      </w:r>
      <w:r>
        <w:t xml:space="preserve"> The </w:t>
      </w:r>
      <w:r w:rsidR="00741F5B">
        <w:t>legacy SHR triggers seem to be incomplete for LTM</w:t>
      </w:r>
      <w:r>
        <w:t xml:space="preserve">. </w:t>
      </w:r>
    </w:p>
    <w:p w14:paraId="4F70EF86" w14:textId="77777777" w:rsidR="00CE3C9A" w:rsidRPr="00782E60" w:rsidRDefault="4FDE1A98" w:rsidP="38732AEF">
      <w:pPr>
        <w:rPr>
          <w:rFonts w:eastAsia="Times New Roman"/>
          <w:color w:val="000000" w:themeColor="text1"/>
          <w:sz w:val="19"/>
          <w:szCs w:val="19"/>
        </w:rPr>
      </w:pPr>
      <w:r w:rsidRPr="2B7A1252">
        <w:rPr>
          <w:b/>
          <w:bCs/>
        </w:rPr>
        <w:t xml:space="preserve">Proposal </w:t>
      </w:r>
      <w:r w:rsidR="75193974" w:rsidRPr="2B7A1252">
        <w:rPr>
          <w:b/>
          <w:bCs/>
        </w:rPr>
        <w:t>4</w:t>
      </w:r>
      <w:r w:rsidRPr="2B7A1252">
        <w:rPr>
          <w:b/>
          <w:bCs/>
        </w:rPr>
        <w:t>:</w:t>
      </w:r>
      <w:r>
        <w:t xml:space="preserve"> RAN3 agrees to </w:t>
      </w:r>
      <w:r w:rsidR="286373E7">
        <w:t>define new SHR trigger</w:t>
      </w:r>
      <w:r w:rsidR="3CE19719" w:rsidRPr="2B7A1252">
        <w:rPr>
          <w:rFonts w:eastAsia="Times New Roman"/>
          <w:b/>
          <w:bCs/>
          <w:color w:val="000000" w:themeColor="text1"/>
          <w:sz w:val="19"/>
          <w:szCs w:val="19"/>
        </w:rPr>
        <w:t xml:space="preserve">s </w:t>
      </w:r>
      <w:r w:rsidR="3CE19719" w:rsidRPr="00782E60">
        <w:rPr>
          <w:rFonts w:eastAsia="Times New Roman"/>
          <w:color w:val="000000" w:themeColor="text1"/>
          <w:sz w:val="19"/>
          <w:szCs w:val="19"/>
        </w:rPr>
        <w:t>specific to LTM near failure cases.</w:t>
      </w:r>
    </w:p>
    <w:p w14:paraId="360F8A28" w14:textId="0FCD3B84" w:rsidR="001A37C4" w:rsidRPr="00132930" w:rsidRDefault="1DDFB540" w:rsidP="38732AEF">
      <w:r w:rsidRPr="38732AEF">
        <w:rPr>
          <w:lang w:val="en-US"/>
        </w:rPr>
        <w:t>The UE is configured for several mobility methods and the SHR triggered by the legacy threshold cannot be assigned to the mobility method that triggered the risky cell change documented with this SHR</w:t>
      </w:r>
      <w:r w:rsidR="001A37C4" w:rsidRPr="38732AEF">
        <w:t xml:space="preserve">. </w:t>
      </w:r>
      <w:r w:rsidR="001A37C4">
        <w:t xml:space="preserve">The network thus may not be able to distinguish between the SHR related to legacy HO and LTM. However due to their different triggers it is not possible to optimize them commonly. </w:t>
      </w:r>
    </w:p>
    <w:p w14:paraId="183BAA09" w14:textId="0DE9D507" w:rsidR="00F50A0F" w:rsidRDefault="00F50A0F" w:rsidP="00F50A0F">
      <w:pPr>
        <w:jc w:val="both"/>
      </w:pPr>
      <w:r w:rsidRPr="00DA1DDF">
        <w:rPr>
          <w:b/>
          <w:bCs/>
        </w:rPr>
        <w:t xml:space="preserve">Observation </w:t>
      </w:r>
      <w:r>
        <w:rPr>
          <w:b/>
          <w:bCs/>
        </w:rPr>
        <w:t>4</w:t>
      </w:r>
      <w:r w:rsidRPr="00DA1DDF">
        <w:rPr>
          <w:b/>
          <w:bCs/>
        </w:rPr>
        <w:t>:</w:t>
      </w:r>
      <w:r>
        <w:t xml:space="preserve"> The network for proper optimization may need to distinguish between SHR related to LTM and legacy HO. </w:t>
      </w:r>
    </w:p>
    <w:p w14:paraId="0902EDAD" w14:textId="1F4BB16D" w:rsidR="00002AC2" w:rsidRDefault="4088A8A8" w:rsidP="00002AC2">
      <w:r w:rsidRPr="2B7A1252">
        <w:rPr>
          <w:b/>
          <w:bCs/>
        </w:rPr>
        <w:t xml:space="preserve">Proposal </w:t>
      </w:r>
      <w:r w:rsidR="31648B9D" w:rsidRPr="2B7A1252">
        <w:rPr>
          <w:b/>
          <w:bCs/>
        </w:rPr>
        <w:t>5</w:t>
      </w:r>
      <w:r w:rsidRPr="2B7A1252">
        <w:rPr>
          <w:b/>
          <w:bCs/>
        </w:rPr>
        <w:t>:</w:t>
      </w:r>
      <w:r>
        <w:t xml:space="preserve"> RAN3 agrees </w:t>
      </w:r>
      <w:r w:rsidR="5080D6BE">
        <w:t>the</w:t>
      </w:r>
      <w:r>
        <w:t xml:space="preserve"> </w:t>
      </w:r>
      <w:r w:rsidR="5080D6BE">
        <w:t>UE triggers the SHR if at least one of the SHR trigger criteria is satisfied (including also new triggers as per proposal 4) with an indictor it is related to LTM cell switch</w:t>
      </w:r>
      <w:r>
        <w:t>.</w:t>
      </w:r>
    </w:p>
    <w:p w14:paraId="554FA72A" w14:textId="0EB13FEE" w:rsidR="004F54FA" w:rsidRPr="00934383" w:rsidRDefault="004F54FA" w:rsidP="004F54FA">
      <w:pPr>
        <w:pStyle w:val="Heading2"/>
        <w:rPr>
          <w:rFonts w:eastAsiaTheme="minorEastAsia"/>
          <w:lang w:eastAsia="zh-CN"/>
        </w:rPr>
      </w:pPr>
      <w:r>
        <w:rPr>
          <w:rFonts w:eastAsiaTheme="minorEastAsia"/>
          <w:lang w:eastAsia="zh-CN"/>
        </w:rPr>
        <w:t>2.2 MRO for CHO with Candidate SCG(s)</w:t>
      </w:r>
    </w:p>
    <w:p w14:paraId="6BCCC6CE" w14:textId="10BF3788" w:rsidR="004F54FA" w:rsidRPr="0036037A" w:rsidRDefault="004F54FA" w:rsidP="004F54FA">
      <w:pPr>
        <w:pStyle w:val="Heading3"/>
        <w:rPr>
          <w:rFonts w:cs="Arial"/>
          <w:b/>
          <w:szCs w:val="28"/>
        </w:rPr>
      </w:pPr>
      <w:r w:rsidRPr="0036037A">
        <w:rPr>
          <w:rFonts w:cs="Arial"/>
          <w:szCs w:val="28"/>
        </w:rPr>
        <w:t>2.</w:t>
      </w:r>
      <w:r>
        <w:rPr>
          <w:rFonts w:cs="Arial"/>
          <w:szCs w:val="28"/>
        </w:rPr>
        <w:t>2</w:t>
      </w:r>
      <w:r w:rsidRPr="0036037A">
        <w:rPr>
          <w:rFonts w:cs="Arial"/>
          <w:szCs w:val="28"/>
        </w:rPr>
        <w:t xml:space="preserve">.1 Agreements achieved in </w:t>
      </w:r>
      <w:proofErr w:type="gramStart"/>
      <w:r w:rsidRPr="0036037A">
        <w:rPr>
          <w:rFonts w:cs="Arial"/>
          <w:szCs w:val="28"/>
        </w:rPr>
        <w:t>RAN3</w:t>
      </w:r>
      <w:proofErr w:type="gramEnd"/>
      <w:r w:rsidRPr="0036037A">
        <w:rPr>
          <w:rFonts w:cs="Arial"/>
          <w:szCs w:val="28"/>
        </w:rPr>
        <w:t xml:space="preserve"> </w:t>
      </w:r>
    </w:p>
    <w:p w14:paraId="29F3B0CB" w14:textId="77777777" w:rsidR="004F54FA" w:rsidRDefault="004F54FA" w:rsidP="004F54FA">
      <w:pPr>
        <w:rPr>
          <w:iCs/>
          <w:color w:val="000000" w:themeColor="text1"/>
          <w:sz w:val="22"/>
        </w:rPr>
      </w:pPr>
      <w:r>
        <w:rPr>
          <w:rFonts w:hint="eastAsia"/>
          <w:iCs/>
          <w:color w:val="000000" w:themeColor="text1"/>
          <w:sz w:val="22"/>
        </w:rPr>
        <w:t>T</w:t>
      </w:r>
      <w:r>
        <w:rPr>
          <w:iCs/>
          <w:color w:val="000000" w:themeColor="text1"/>
          <w:sz w:val="22"/>
        </w:rPr>
        <w:t xml:space="preserve">he agreements achieved in </w:t>
      </w:r>
      <w:r w:rsidRPr="00E66210">
        <w:rPr>
          <w:rFonts w:hint="eastAsia"/>
          <w:iCs/>
          <w:color w:val="000000" w:themeColor="text1"/>
          <w:sz w:val="22"/>
        </w:rPr>
        <w:t>R</w:t>
      </w:r>
      <w:r w:rsidRPr="00E66210">
        <w:rPr>
          <w:iCs/>
          <w:color w:val="000000" w:themeColor="text1"/>
          <w:sz w:val="22"/>
        </w:rPr>
        <w:t>AN</w:t>
      </w:r>
      <w:r>
        <w:rPr>
          <w:iCs/>
          <w:color w:val="000000" w:themeColor="text1"/>
          <w:sz w:val="22"/>
        </w:rPr>
        <w:t xml:space="preserve"> #120 [1]:</w:t>
      </w:r>
    </w:p>
    <w:p w14:paraId="04D21B37" w14:textId="77777777" w:rsidR="004F54FA" w:rsidRPr="00146A08" w:rsidRDefault="004F54FA" w:rsidP="004F54FA">
      <w:pPr>
        <w:spacing w:before="120" w:line="280" w:lineRule="atLeast"/>
        <w:rPr>
          <w:rFonts w:eastAsia="SimSun"/>
          <w:color w:val="00B050"/>
        </w:rPr>
      </w:pPr>
      <w:r w:rsidRPr="00146A08">
        <w:rPr>
          <w:rFonts w:eastAsia="SimSun"/>
          <w:color w:val="00B050"/>
        </w:rPr>
        <w:t xml:space="preserve">As part of the </w:t>
      </w:r>
      <w:r w:rsidRPr="00146A08">
        <w:rPr>
          <w:color w:val="00B050"/>
        </w:rPr>
        <w:t>NR_ENDC_SON_MDT_Ph4-Core WI the following objective was agreed:</w:t>
      </w:r>
    </w:p>
    <w:p w14:paraId="0B6ABAB1" w14:textId="77777777" w:rsidR="004F54FA" w:rsidRPr="00146A08" w:rsidRDefault="004F54FA" w:rsidP="004F54FA">
      <w:pPr>
        <w:spacing w:before="120" w:line="280" w:lineRule="atLeast"/>
        <w:rPr>
          <w:rFonts w:eastAsia="SimSun"/>
          <w:color w:val="00B050"/>
        </w:rPr>
      </w:pPr>
      <w:r w:rsidRPr="00146A08">
        <w:rPr>
          <w:rFonts w:eastAsia="SimSun"/>
          <w:color w:val="00B050"/>
        </w:rPr>
        <w:t>MRO enhancement for R18 mobility mechanisms, including</w:t>
      </w:r>
      <w:r w:rsidRPr="00146A08">
        <w:rPr>
          <w:rFonts w:hint="eastAsia"/>
          <w:color w:val="00B050"/>
        </w:rPr>
        <w:t xml:space="preserve">, </w:t>
      </w:r>
      <w:r w:rsidRPr="00146A08">
        <w:rPr>
          <w:rFonts w:eastAsia="SimSun"/>
          <w:color w:val="00B050"/>
        </w:rPr>
        <w:t>Lower layer triggered mobility (LTM), CHO with candidate SCGs, subsequent CPAC [RAN3, RAN2]:</w:t>
      </w:r>
    </w:p>
    <w:p w14:paraId="1888C423" w14:textId="77777777" w:rsidR="004F54FA" w:rsidRPr="00146A08" w:rsidRDefault="004F54FA" w:rsidP="004F54FA">
      <w:pPr>
        <w:pStyle w:val="ListParagraph"/>
        <w:numPr>
          <w:ilvl w:val="0"/>
          <w:numId w:val="39"/>
        </w:numPr>
        <w:spacing w:before="120" w:after="160" w:line="280" w:lineRule="atLeast"/>
        <w:rPr>
          <w:rFonts w:eastAsia="SimSun"/>
          <w:color w:val="00B050"/>
        </w:rPr>
      </w:pPr>
      <w:r w:rsidRPr="00146A08">
        <w:rPr>
          <w:rFonts w:eastAsia="SimSun"/>
          <w:color w:val="00B050"/>
        </w:rPr>
        <w:t xml:space="preserve">Specification of the inter-node information exchange, including possible enhancements to interfaces    </w:t>
      </w:r>
      <w:r w:rsidRPr="00146A08">
        <w:rPr>
          <w:rFonts w:eastAsia="SimSun"/>
          <w:color w:val="00B050"/>
        </w:rPr>
        <w:br/>
        <w:t>[RAN3]</w:t>
      </w:r>
    </w:p>
    <w:p w14:paraId="51D93028" w14:textId="77777777" w:rsidR="004F54FA" w:rsidRPr="00146A08" w:rsidRDefault="004F54FA" w:rsidP="004F54FA">
      <w:pPr>
        <w:pStyle w:val="ListParagraph"/>
        <w:numPr>
          <w:ilvl w:val="0"/>
          <w:numId w:val="39"/>
        </w:numPr>
        <w:spacing w:before="120" w:after="160" w:line="280" w:lineRule="atLeast"/>
        <w:rPr>
          <w:rFonts w:eastAsia="SimSun"/>
          <w:color w:val="00B050"/>
        </w:rPr>
      </w:pPr>
      <w:r w:rsidRPr="00146A08">
        <w:rPr>
          <w:rFonts w:eastAsia="SimSun" w:hint="eastAsia"/>
          <w:color w:val="00B050"/>
        </w:rPr>
        <w:t>Identify and specify necessary UE reporting to enhance the mobility parameter tuning</w:t>
      </w:r>
      <w:r w:rsidRPr="00146A08">
        <w:rPr>
          <w:rFonts w:eastAsia="SimSun"/>
          <w:color w:val="00B050"/>
        </w:rPr>
        <w:t> [RAN2]</w:t>
      </w:r>
    </w:p>
    <w:p w14:paraId="14194646" w14:textId="77777777" w:rsidR="004F54FA" w:rsidRPr="00146A08" w:rsidRDefault="004F54FA" w:rsidP="004F54FA">
      <w:pPr>
        <w:rPr>
          <w:iCs/>
          <w:color w:val="000000" w:themeColor="text1"/>
          <w:sz w:val="22"/>
          <w:lang w:val="en-US"/>
        </w:rPr>
      </w:pPr>
    </w:p>
    <w:p w14:paraId="28A9B9CE" w14:textId="0166F462" w:rsidR="004F54FA" w:rsidRPr="00121C48" w:rsidRDefault="004F54FA" w:rsidP="004F54FA">
      <w:pPr>
        <w:pStyle w:val="Heading2"/>
      </w:pPr>
      <w:r w:rsidRPr="00DC1F0D">
        <w:rPr>
          <w:rFonts w:cs="Arial"/>
          <w:sz w:val="28"/>
          <w:szCs w:val="28"/>
        </w:rPr>
        <w:t>2.</w:t>
      </w:r>
      <w:r>
        <w:rPr>
          <w:rFonts w:cs="Arial"/>
          <w:sz w:val="28"/>
          <w:szCs w:val="28"/>
        </w:rPr>
        <w:t>2</w:t>
      </w:r>
      <w:r w:rsidRPr="00DC1F0D">
        <w:rPr>
          <w:rFonts w:cs="Arial"/>
          <w:sz w:val="28"/>
          <w:szCs w:val="28"/>
        </w:rPr>
        <w:t>.2</w:t>
      </w:r>
      <w:r w:rsidRPr="0036037A">
        <w:rPr>
          <w:rFonts w:cs="Arial"/>
          <w:szCs w:val="28"/>
        </w:rPr>
        <w:t xml:space="preserve"> </w:t>
      </w:r>
      <w:r w:rsidRPr="00DC1F0D">
        <w:rPr>
          <w:rFonts w:cs="Arial"/>
          <w:sz w:val="28"/>
          <w:szCs w:val="28"/>
        </w:rPr>
        <w:t xml:space="preserve">3GPP Release 18 Mobility Enhancements - </w:t>
      </w:r>
      <w:r w:rsidRPr="00121C48">
        <w:t>CHO + MR</w:t>
      </w:r>
      <w:r>
        <w:t>-</w:t>
      </w:r>
      <w:r w:rsidRPr="00121C48">
        <w:t>DC</w:t>
      </w:r>
    </w:p>
    <w:p w14:paraId="1249ED87" w14:textId="77777777" w:rsidR="004F54FA" w:rsidRPr="00121C48" w:rsidRDefault="004F54FA" w:rsidP="004F54FA">
      <w:r w:rsidRPr="00121C48">
        <w:t xml:space="preserve">In Release 17, CHO in MR-DC is limited to the scenario where the target MN can prepare a single target </w:t>
      </w:r>
      <w:proofErr w:type="spellStart"/>
      <w:r w:rsidRPr="00121C48">
        <w:t>PSCell</w:t>
      </w:r>
      <w:proofErr w:type="spellEnd"/>
      <w:r w:rsidRPr="00121C48">
        <w:t xml:space="preserve"> (under the control of an SN). This limits the usefulness of the CHO MR-DC feature where UE may need to access different target </w:t>
      </w:r>
      <w:proofErr w:type="spellStart"/>
      <w:r w:rsidRPr="00121C48">
        <w:t>PSCell</w:t>
      </w:r>
      <w:proofErr w:type="spellEnd"/>
      <w:r w:rsidRPr="00121C48">
        <w:t xml:space="preserve"> when the CHO needs to be executed. </w:t>
      </w:r>
      <w:r>
        <w:t xml:space="preserve">In </w:t>
      </w:r>
      <w:r w:rsidRPr="00121C48">
        <w:t xml:space="preserve">Rel-18 </w:t>
      </w:r>
      <w:r>
        <w:t>specified</w:t>
      </w:r>
      <w:r w:rsidRPr="00121C48">
        <w:t xml:space="preserve"> mechanisms for CHO in MR-DC where target MN can prepare multiple target </w:t>
      </w:r>
      <w:proofErr w:type="spellStart"/>
      <w:r w:rsidRPr="00121C48">
        <w:t>PSCells</w:t>
      </w:r>
      <w:proofErr w:type="spellEnd"/>
      <w:r w:rsidRPr="00121C48">
        <w:t xml:space="preserve"> for the same target </w:t>
      </w:r>
      <w:proofErr w:type="spellStart"/>
      <w:r w:rsidRPr="00121C48">
        <w:t>PCell</w:t>
      </w:r>
      <w:proofErr w:type="spellEnd"/>
      <w:r w:rsidRPr="00121C48">
        <w:t xml:space="preserve">. </w:t>
      </w:r>
      <w:r>
        <w:t>The corresponding stage 2 in the TS 37.340 was improved in Rel. 18 to support the CHO with candidate SCG(s) and stage 3 of the impacted messages in the TS 38.423.</w:t>
      </w:r>
    </w:p>
    <w:p w14:paraId="392A17C7" w14:textId="6A4558A7" w:rsidR="004F54FA" w:rsidRDefault="004F54FA" w:rsidP="004F54FA">
      <w:pPr>
        <w:pStyle w:val="Heading3"/>
        <w:rPr>
          <w:rFonts w:cs="Arial"/>
          <w:szCs w:val="28"/>
        </w:rPr>
      </w:pPr>
      <w:r w:rsidRPr="00A31433">
        <w:rPr>
          <w:rFonts w:cs="Arial"/>
          <w:szCs w:val="28"/>
        </w:rPr>
        <w:t>2.</w:t>
      </w:r>
      <w:r>
        <w:rPr>
          <w:rFonts w:cs="Arial"/>
          <w:szCs w:val="28"/>
        </w:rPr>
        <w:t>2</w:t>
      </w:r>
      <w:r w:rsidRPr="00A31433">
        <w:rPr>
          <w:rFonts w:cs="Arial"/>
          <w:szCs w:val="28"/>
        </w:rPr>
        <w:t>.</w:t>
      </w:r>
      <w:r>
        <w:rPr>
          <w:rFonts w:cs="Arial"/>
          <w:szCs w:val="28"/>
        </w:rPr>
        <w:t>3</w:t>
      </w:r>
      <w:r w:rsidRPr="00A31433">
        <w:rPr>
          <w:rFonts w:cs="Arial"/>
          <w:szCs w:val="28"/>
        </w:rPr>
        <w:t xml:space="preserve"> </w:t>
      </w:r>
      <w:r>
        <w:rPr>
          <w:rFonts w:cs="Arial"/>
          <w:szCs w:val="28"/>
        </w:rPr>
        <w:t>Near Failure Monitoring for CHO with Candidate SCG(s)</w:t>
      </w:r>
    </w:p>
    <w:p w14:paraId="1EDF0EED" w14:textId="77777777" w:rsidR="004F54FA" w:rsidRDefault="004F54FA" w:rsidP="004F54FA">
      <w:r w:rsidRPr="00F50DEB">
        <w:t>With 3GPP Rel-17 for the intra-NR mobility</w:t>
      </w:r>
      <w:r>
        <w:t xml:space="preserve"> and consequent extension for inter RAT mobility in Rel. 18</w:t>
      </w:r>
      <w:r w:rsidRPr="00F50DEB">
        <w:t>, the MRO concept based on RLFs has been extended towards the logging of risky or failed but recovered mobility cases which finally resulted in success handover by providing a successful handover report (SHR).</w:t>
      </w:r>
      <w:r>
        <w:t xml:space="preserve"> In similar way for </w:t>
      </w:r>
      <w:proofErr w:type="spellStart"/>
      <w:r>
        <w:t>PSCell</w:t>
      </w:r>
      <w:proofErr w:type="spellEnd"/>
      <w:r>
        <w:t xml:space="preserve"> addition or change the </w:t>
      </w:r>
      <w:r w:rsidRPr="00F50DEB">
        <w:t xml:space="preserve">recovered cases which finally resulted in success </w:t>
      </w:r>
      <w:r>
        <w:t>scenario</w:t>
      </w:r>
      <w:r w:rsidRPr="00F50DEB">
        <w:t xml:space="preserve"> by providing a successful </w:t>
      </w:r>
      <w:proofErr w:type="spellStart"/>
      <w:r>
        <w:t>PSCell</w:t>
      </w:r>
      <w:proofErr w:type="spellEnd"/>
      <w:r>
        <w:t xml:space="preserve"> Addition or Change</w:t>
      </w:r>
      <w:r w:rsidRPr="00F50DEB">
        <w:t xml:space="preserve"> report (S</w:t>
      </w:r>
      <w:r>
        <w:t>P</w:t>
      </w:r>
      <w:r w:rsidRPr="00F50DEB">
        <w:t>R).</w:t>
      </w:r>
      <w:r>
        <w:t xml:space="preserve"> </w:t>
      </w:r>
    </w:p>
    <w:p w14:paraId="6E4C6792" w14:textId="2EBC6446" w:rsidR="004F54FA" w:rsidRDefault="004F54FA" w:rsidP="004F54FA">
      <w:pPr>
        <w:jc w:val="both"/>
      </w:pPr>
      <w:r w:rsidRPr="00DA1DDF">
        <w:rPr>
          <w:b/>
          <w:bCs/>
        </w:rPr>
        <w:t xml:space="preserve">Observation </w:t>
      </w:r>
      <w:r>
        <w:rPr>
          <w:b/>
          <w:bCs/>
        </w:rPr>
        <w:t>5</w:t>
      </w:r>
      <w:r w:rsidRPr="00DA1DDF">
        <w:rPr>
          <w:b/>
          <w:bCs/>
        </w:rPr>
        <w:t>:</w:t>
      </w:r>
      <w:r>
        <w:t xml:space="preserve"> The SHR and SPR monitoring is also applicable for CHO with candidate SCG(s). </w:t>
      </w:r>
    </w:p>
    <w:p w14:paraId="042E4534" w14:textId="77777777" w:rsidR="004F54FA" w:rsidRDefault="004F54FA" w:rsidP="004F54FA">
      <w:r>
        <w:t xml:space="preserve">When the UE is configured with R18 CHO with candidate SCG(s) configuration, there will be one candidate configuration that contains both MCG and SCG configuration. Although there is one candidate configuration, the UE will receive two orthogonal conditions to be monitored to execute that candidate configuration. Herein, there will be one (or more) CHO condition to reflect MCG quality measure, and one (or more) CPAC condition to reflect SCG quality measure in the condition evaluation. Herein, the CHO condition will be determined by the source MN whereas </w:t>
      </w:r>
      <w:r>
        <w:lastRenderedPageBreak/>
        <w:t xml:space="preserve">the CPAC condition will be determined by the candidate MN who prepares the candidate SN. Eventually, the candidate configuration will be executed only if both CHO and CPAC conditions are met. </w:t>
      </w:r>
    </w:p>
    <w:p w14:paraId="7E21846C" w14:textId="4B18204F" w:rsidR="004F54FA" w:rsidRDefault="004F54FA" w:rsidP="004F54FA">
      <w:pPr>
        <w:jc w:val="both"/>
      </w:pPr>
      <w:r w:rsidRPr="00DA1DDF">
        <w:rPr>
          <w:b/>
          <w:bCs/>
        </w:rPr>
        <w:t xml:space="preserve">Observation </w:t>
      </w:r>
      <w:r>
        <w:rPr>
          <w:b/>
          <w:bCs/>
        </w:rPr>
        <w:t>6</w:t>
      </w:r>
      <w:r w:rsidRPr="00DA1DDF">
        <w:rPr>
          <w:b/>
          <w:bCs/>
        </w:rPr>
        <w:t>:</w:t>
      </w:r>
      <w:r>
        <w:t xml:space="preserve"> CHO with candidate SCG(s) involves orthogonality meaning that candidate configuration will be executed only if both CHO and CPAC conditions are met. </w:t>
      </w:r>
    </w:p>
    <w:p w14:paraId="66E22DB3" w14:textId="77777777" w:rsidR="004F54FA" w:rsidRDefault="004F54FA" w:rsidP="004F54FA">
      <w:pPr>
        <w:jc w:val="both"/>
        <w:rPr>
          <w:b/>
          <w:bCs/>
        </w:rPr>
      </w:pPr>
      <w:r>
        <w:t xml:space="preserve">It is nontrivial to set both CHO and CPAC conditions in a way that they will be </w:t>
      </w:r>
      <w:proofErr w:type="spellStart"/>
      <w:r>
        <w:t>inline</w:t>
      </w:r>
      <w:proofErr w:type="spellEnd"/>
      <w:r>
        <w:t xml:space="preserve"> with each other, i.e., one condition does not necessarily block other.</w:t>
      </w:r>
    </w:p>
    <w:p w14:paraId="0E001FA5" w14:textId="77777777" w:rsidR="004F54FA" w:rsidRDefault="004F54FA" w:rsidP="004F54FA">
      <w:r>
        <w:t xml:space="preserve">In legacy procedures, it is possible to optimize the execution conditions, by looking at the successful HO Report (SHR) for CHO, and Successful </w:t>
      </w:r>
      <w:proofErr w:type="spellStart"/>
      <w:r>
        <w:t>PSCell</w:t>
      </w:r>
      <w:proofErr w:type="spellEnd"/>
      <w:r>
        <w:t xml:space="preserve"> Report (SPR) for CPAC, as CHO and CPAC conditions were not tied to each other and execution of each was independent. When the CHO execution is delayed with an interruption at the UE side (T310 timer runs but does not expire) due to wrong CHO execution condition configuration, it is known by the network that what went wrong with the CHO execution. Similarly, when the CPAC execution is delayed and leads UE to experience interruption between UE and the S-SN, the wrong configuration can be known by the network if the UE indicates that CPAC execution was delayed (via SPR).</w:t>
      </w:r>
    </w:p>
    <w:p w14:paraId="35CABAD5" w14:textId="4514F56C" w:rsidR="004F54FA" w:rsidRDefault="004F54FA" w:rsidP="004F54FA">
      <w:pPr>
        <w:jc w:val="both"/>
      </w:pPr>
      <w:r w:rsidRPr="00DA1DDF">
        <w:rPr>
          <w:b/>
          <w:bCs/>
        </w:rPr>
        <w:t xml:space="preserve">Observation </w:t>
      </w:r>
      <w:r>
        <w:rPr>
          <w:b/>
          <w:bCs/>
        </w:rPr>
        <w:t>7</w:t>
      </w:r>
      <w:r w:rsidRPr="00DA1DDF">
        <w:rPr>
          <w:b/>
          <w:bCs/>
        </w:rPr>
        <w:t>:</w:t>
      </w:r>
      <w:r>
        <w:t xml:space="preserve"> The legacy way of independent SHR and SPR monitoring and consequent optimization may be insufficient for CHO with candidate SCG(s). </w:t>
      </w:r>
    </w:p>
    <w:p w14:paraId="3D6E5891" w14:textId="45BA4767" w:rsidR="004F54FA" w:rsidRDefault="004F54FA" w:rsidP="004F54FA">
      <w:pPr>
        <w:jc w:val="both"/>
      </w:pPr>
      <w:r>
        <w:rPr>
          <w:b/>
          <w:bCs/>
        </w:rPr>
        <w:t>Proposal</w:t>
      </w:r>
      <w:r w:rsidRPr="00DA1DDF">
        <w:rPr>
          <w:b/>
          <w:bCs/>
        </w:rPr>
        <w:t xml:space="preserve"> </w:t>
      </w:r>
      <w:r>
        <w:rPr>
          <w:b/>
          <w:bCs/>
        </w:rPr>
        <w:t>6</w:t>
      </w:r>
      <w:r w:rsidRPr="00DA1DDF">
        <w:rPr>
          <w:b/>
          <w:bCs/>
        </w:rPr>
        <w:t>:</w:t>
      </w:r>
      <w:r>
        <w:t xml:space="preserve"> </w:t>
      </w:r>
      <w:r w:rsidRPr="0022458A">
        <w:t xml:space="preserve">RAN3 agrees </w:t>
      </w:r>
      <w:r>
        <w:t xml:space="preserve">on analysis of the MRO for CHO with candidate SCG(s) from the perspective of the interdependency between CHO and CPAC configuration execution. </w:t>
      </w:r>
    </w:p>
    <w:p w14:paraId="4D488EB0" w14:textId="77777777" w:rsidR="004F54FA" w:rsidRPr="00615EC4" w:rsidRDefault="004F54FA" w:rsidP="004F54FA">
      <w:r w:rsidRPr="00615EC4">
        <w:t>In case of CHO</w:t>
      </w:r>
      <w:r>
        <w:t xml:space="preserve"> with candidate SCG(s)</w:t>
      </w:r>
      <w:r w:rsidRPr="00615EC4">
        <w:t xml:space="preserve">, if one of the execution conditions is not configured properly, the entire execution will be delayed as CHO+CPAC configuration cannot be executed partially. Only when both conditions can be satisfied and the UE executes the configuration, i.e., access both target </w:t>
      </w:r>
      <w:proofErr w:type="spellStart"/>
      <w:r w:rsidRPr="00615EC4">
        <w:t>PCell</w:t>
      </w:r>
      <w:proofErr w:type="spellEnd"/>
      <w:r w:rsidRPr="00615EC4">
        <w:t xml:space="preserve"> and </w:t>
      </w:r>
      <w:proofErr w:type="spellStart"/>
      <w:r w:rsidRPr="00615EC4">
        <w:t>PScell</w:t>
      </w:r>
      <w:proofErr w:type="spellEnd"/>
      <w:r w:rsidRPr="00615EC4">
        <w:t xml:space="preserve">. </w:t>
      </w:r>
    </w:p>
    <w:p w14:paraId="7396D1DF" w14:textId="6419CE14" w:rsidR="004F54FA" w:rsidRDefault="004F54FA" w:rsidP="004F54FA">
      <w:pPr>
        <w:jc w:val="both"/>
      </w:pPr>
      <w:r w:rsidRPr="00DA1DDF">
        <w:rPr>
          <w:b/>
          <w:bCs/>
        </w:rPr>
        <w:t xml:space="preserve">Observation </w:t>
      </w:r>
      <w:r>
        <w:rPr>
          <w:b/>
          <w:bCs/>
        </w:rPr>
        <w:t>8</w:t>
      </w:r>
      <w:r w:rsidRPr="00DA1DDF">
        <w:rPr>
          <w:b/>
          <w:bCs/>
        </w:rPr>
        <w:t>:</w:t>
      </w:r>
      <w:r>
        <w:t xml:space="preserve"> For MRO for CHO with candidate SCG(s) it may be beneficial to identify the blocking/wrong configuration. </w:t>
      </w:r>
    </w:p>
    <w:p w14:paraId="7BFE5357" w14:textId="26E7B0DB" w:rsidR="004F54FA" w:rsidRDefault="004F54FA" w:rsidP="004F54FA">
      <w:pPr>
        <w:jc w:val="both"/>
      </w:pPr>
      <w:r>
        <w:rPr>
          <w:b/>
          <w:bCs/>
        </w:rPr>
        <w:t>Proposal</w:t>
      </w:r>
      <w:r w:rsidRPr="00DA1DDF">
        <w:rPr>
          <w:b/>
          <w:bCs/>
        </w:rPr>
        <w:t xml:space="preserve"> </w:t>
      </w:r>
      <w:r>
        <w:rPr>
          <w:b/>
          <w:bCs/>
        </w:rPr>
        <w:t>7</w:t>
      </w:r>
      <w:r w:rsidRPr="00DA1DDF">
        <w:rPr>
          <w:b/>
          <w:bCs/>
        </w:rPr>
        <w:t>:</w:t>
      </w:r>
      <w:r>
        <w:t xml:space="preserve"> </w:t>
      </w:r>
      <w:r w:rsidRPr="0022458A">
        <w:t xml:space="preserve">RAN3 agrees </w:t>
      </w:r>
      <w:r>
        <w:t xml:space="preserve">on deeper analysis of the blocking/wrong CHO/CPAC configuration for CHO with SCG(s) mobility which may be for example reported as new information in SHR/SPR when CHO/CPAC execution is delayed by the time interval which is above the configured threshold after the CPAC/CHO execution. </w:t>
      </w:r>
    </w:p>
    <w:p w14:paraId="6B9D2879" w14:textId="0D33FD72" w:rsidR="009F1EF4" w:rsidRPr="00F50A0F" w:rsidRDefault="009F1EF4" w:rsidP="009F1EF4">
      <w:pPr>
        <w:jc w:val="both"/>
      </w:pPr>
    </w:p>
    <w:p w14:paraId="28E42E52" w14:textId="77777777" w:rsidR="000F16C4" w:rsidRPr="000665EA" w:rsidRDefault="00CD2620" w:rsidP="00E00CEF">
      <w:pPr>
        <w:pStyle w:val="Heading1"/>
      </w:pPr>
      <w:r w:rsidRPr="000665EA">
        <w:t>3</w:t>
      </w:r>
      <w:r w:rsidR="000F16C4" w:rsidRPr="000665EA">
        <w:tab/>
      </w:r>
      <w:r w:rsidRPr="000665EA">
        <w:t>Conclusions</w:t>
      </w:r>
    </w:p>
    <w:p w14:paraId="18057DE1" w14:textId="0F5D176D" w:rsidR="00B62C3A" w:rsidRPr="00EA1266" w:rsidRDefault="004F54FA" w:rsidP="00B62C3A">
      <w:r>
        <w:t>First part of the</w:t>
      </w:r>
      <w:r w:rsidR="00B62C3A" w:rsidRPr="00EA1266">
        <w:t xml:space="preserve"> contribution discussed on how to support </w:t>
      </w:r>
      <w:r w:rsidR="00CB47ED">
        <w:t>SHR for LTM</w:t>
      </w:r>
      <w:r w:rsidR="00B62C3A" w:rsidRPr="00EA1266">
        <w:t>. We have the following observations and proposals</w:t>
      </w:r>
      <w:r w:rsidR="00CB47ED">
        <w:t>:</w:t>
      </w:r>
      <w:r w:rsidR="00B62C3A" w:rsidRPr="00EA1266">
        <w:t xml:space="preserve"> </w:t>
      </w:r>
    </w:p>
    <w:p w14:paraId="1194D364" w14:textId="77777777" w:rsidR="007A5E55" w:rsidRDefault="007A5E55" w:rsidP="007A5E55">
      <w:pPr>
        <w:jc w:val="both"/>
      </w:pPr>
      <w:r w:rsidRPr="00DA1DDF">
        <w:rPr>
          <w:b/>
          <w:bCs/>
        </w:rPr>
        <w:t xml:space="preserve">Observation </w:t>
      </w:r>
      <w:r>
        <w:rPr>
          <w:b/>
          <w:bCs/>
        </w:rPr>
        <w:t>1</w:t>
      </w:r>
      <w:r w:rsidRPr="00DA1DDF">
        <w:rPr>
          <w:b/>
          <w:bCs/>
        </w:rPr>
        <w:t>:</w:t>
      </w:r>
      <w:r>
        <w:t xml:space="preserve"> The MRO concept including near failure monitoring is applicable also for LTM. </w:t>
      </w:r>
    </w:p>
    <w:p w14:paraId="157E5E99" w14:textId="77777777" w:rsidR="007A5E55" w:rsidRDefault="007A5E55" w:rsidP="007A5E55">
      <w:pPr>
        <w:jc w:val="both"/>
      </w:pPr>
      <w:r>
        <w:rPr>
          <w:b/>
          <w:bCs/>
        </w:rPr>
        <w:t>Proposal</w:t>
      </w:r>
      <w:r w:rsidRPr="00DA1DDF">
        <w:rPr>
          <w:b/>
          <w:bCs/>
        </w:rPr>
        <w:t xml:space="preserve"> </w:t>
      </w:r>
      <w:r>
        <w:rPr>
          <w:b/>
          <w:bCs/>
        </w:rPr>
        <w:t>1</w:t>
      </w:r>
      <w:r w:rsidRPr="00DA1DDF">
        <w:rPr>
          <w:b/>
          <w:bCs/>
        </w:rPr>
        <w:t>:</w:t>
      </w:r>
      <w:r>
        <w:t xml:space="preserve"> </w:t>
      </w:r>
      <w:r w:rsidRPr="0022458A">
        <w:t>RAN3 agrees to extend SHR also to LTM</w:t>
      </w:r>
      <w:r>
        <w:t xml:space="preserve">. </w:t>
      </w:r>
    </w:p>
    <w:p w14:paraId="7F9D0579" w14:textId="77777777" w:rsidR="007A5E55" w:rsidRDefault="007A5E55" w:rsidP="007A5E55">
      <w:pPr>
        <w:jc w:val="both"/>
      </w:pPr>
      <w:r w:rsidRPr="00DA1DDF">
        <w:rPr>
          <w:b/>
          <w:bCs/>
        </w:rPr>
        <w:t xml:space="preserve">Observation </w:t>
      </w:r>
      <w:r>
        <w:rPr>
          <w:b/>
          <w:bCs/>
        </w:rPr>
        <w:t>2</w:t>
      </w:r>
      <w:r w:rsidRPr="00DA1DDF">
        <w:rPr>
          <w:b/>
          <w:bCs/>
        </w:rPr>
        <w:t>:</w:t>
      </w:r>
      <w:r>
        <w:t xml:space="preserve"> The current SHR definition does not allow LTM monitoring. </w:t>
      </w:r>
    </w:p>
    <w:p w14:paraId="45E7F1F6" w14:textId="77777777" w:rsidR="007A5E55" w:rsidRDefault="007A5E55" w:rsidP="007A5E55">
      <w:pPr>
        <w:jc w:val="both"/>
      </w:pPr>
      <w:r>
        <w:rPr>
          <w:b/>
          <w:bCs/>
        </w:rPr>
        <w:t>Proposal</w:t>
      </w:r>
      <w:r w:rsidRPr="00DA1DDF">
        <w:rPr>
          <w:b/>
          <w:bCs/>
        </w:rPr>
        <w:t xml:space="preserve"> </w:t>
      </w:r>
      <w:r>
        <w:rPr>
          <w:b/>
          <w:bCs/>
        </w:rPr>
        <w:t>2</w:t>
      </w:r>
      <w:r w:rsidRPr="00DA1DDF">
        <w:rPr>
          <w:b/>
          <w:bCs/>
        </w:rPr>
        <w:t>:</w:t>
      </w:r>
      <w:r>
        <w:t xml:space="preserve"> </w:t>
      </w:r>
      <w:r w:rsidRPr="0022458A">
        <w:t xml:space="preserve">RAN3 agrees to extend SHR </w:t>
      </w:r>
      <w:r>
        <w:t>definition to cover also monitoring of the</w:t>
      </w:r>
      <w:r w:rsidRPr="0022458A">
        <w:t xml:space="preserve"> LTM</w:t>
      </w:r>
      <w:r>
        <w:t xml:space="preserve">, i.e. including the successful completion of the procedure based on sending the Cell Switch Command (MAC CE) into TS 38.331. </w:t>
      </w:r>
    </w:p>
    <w:p w14:paraId="4BAAFEAF" w14:textId="77777777" w:rsidR="007A5E55" w:rsidRDefault="007A5E55" w:rsidP="007A5E55">
      <w:pPr>
        <w:jc w:val="both"/>
      </w:pPr>
      <w:r>
        <w:rPr>
          <w:b/>
          <w:bCs/>
        </w:rPr>
        <w:t>Proposal</w:t>
      </w:r>
      <w:r w:rsidRPr="00DA1DDF">
        <w:rPr>
          <w:b/>
          <w:bCs/>
        </w:rPr>
        <w:t xml:space="preserve"> </w:t>
      </w:r>
      <w:r>
        <w:rPr>
          <w:b/>
          <w:bCs/>
        </w:rPr>
        <w:t>3</w:t>
      </w:r>
      <w:r w:rsidRPr="00DA1DDF">
        <w:rPr>
          <w:b/>
          <w:bCs/>
        </w:rPr>
        <w:t>:</w:t>
      </w:r>
      <w:r>
        <w:t xml:space="preserve"> </w:t>
      </w:r>
      <w:r w:rsidRPr="0022458A">
        <w:t xml:space="preserve">RAN3 agrees to </w:t>
      </w:r>
      <w:r>
        <w:t xml:space="preserve">send LS to RAN2 (RAN1 in CC) to double check the T304 and possible dedicated value for LTM. </w:t>
      </w:r>
    </w:p>
    <w:p w14:paraId="7751AAC1" w14:textId="77777777" w:rsidR="007A5E55" w:rsidRDefault="007A5E55" w:rsidP="007A5E55">
      <w:pPr>
        <w:jc w:val="both"/>
      </w:pPr>
      <w:r w:rsidRPr="00DA1DDF">
        <w:rPr>
          <w:b/>
          <w:bCs/>
        </w:rPr>
        <w:t xml:space="preserve">Observation </w:t>
      </w:r>
      <w:r>
        <w:rPr>
          <w:b/>
          <w:bCs/>
        </w:rPr>
        <w:t>3</w:t>
      </w:r>
      <w:r w:rsidRPr="00DA1DDF">
        <w:rPr>
          <w:b/>
          <w:bCs/>
        </w:rPr>
        <w:t>:</w:t>
      </w:r>
      <w:r>
        <w:t xml:space="preserve"> The legacy SHR triggers seem to be incomplete for LTM. </w:t>
      </w:r>
    </w:p>
    <w:p w14:paraId="33E7EC8B" w14:textId="636A525B" w:rsidR="004F54FA" w:rsidRPr="004F54FA" w:rsidRDefault="2B7A1252" w:rsidP="007A5E55">
      <w:pPr>
        <w:jc w:val="both"/>
      </w:pPr>
      <w:r w:rsidRPr="2B7A1252">
        <w:rPr>
          <w:b/>
          <w:bCs/>
        </w:rPr>
        <w:t>Proposal 4:</w:t>
      </w:r>
      <w:r>
        <w:t xml:space="preserve"> RAN3 agrees to define new SHR trigger</w:t>
      </w:r>
      <w:r w:rsidRPr="2B7A1252">
        <w:rPr>
          <w:rFonts w:eastAsia="Times New Roman"/>
          <w:b/>
          <w:bCs/>
          <w:color w:val="000000" w:themeColor="text1"/>
          <w:sz w:val="19"/>
          <w:szCs w:val="19"/>
        </w:rPr>
        <w:t xml:space="preserve">s </w:t>
      </w:r>
      <w:r w:rsidRPr="004F54FA">
        <w:t>specific to LTM near failure cases</w:t>
      </w:r>
      <w:r w:rsidR="004F54FA" w:rsidRPr="004F54FA">
        <w:t>.</w:t>
      </w:r>
    </w:p>
    <w:p w14:paraId="4AE16F07" w14:textId="731CD36D" w:rsidR="007A5E55" w:rsidRDefault="007A5E55" w:rsidP="007A5E55">
      <w:pPr>
        <w:jc w:val="both"/>
      </w:pPr>
      <w:r w:rsidRPr="00DA1DDF">
        <w:rPr>
          <w:b/>
          <w:bCs/>
        </w:rPr>
        <w:t xml:space="preserve">Observation </w:t>
      </w:r>
      <w:r>
        <w:rPr>
          <w:b/>
          <w:bCs/>
        </w:rPr>
        <w:t>4</w:t>
      </w:r>
      <w:r w:rsidRPr="00DA1DDF">
        <w:rPr>
          <w:b/>
          <w:bCs/>
        </w:rPr>
        <w:t>:</w:t>
      </w:r>
      <w:r>
        <w:t xml:space="preserve"> The network for proper optimization may need to distinguish between SHR related to LTM and legacy HO. </w:t>
      </w:r>
    </w:p>
    <w:p w14:paraId="456D3543" w14:textId="2DC2F146" w:rsidR="007A5E55" w:rsidRDefault="39181874" w:rsidP="007A5E55">
      <w:r w:rsidRPr="2B7A1252">
        <w:rPr>
          <w:b/>
          <w:bCs/>
        </w:rPr>
        <w:t xml:space="preserve">Proposal </w:t>
      </w:r>
      <w:r w:rsidR="7C2A4B7C" w:rsidRPr="2B7A1252">
        <w:rPr>
          <w:b/>
          <w:bCs/>
        </w:rPr>
        <w:t>5</w:t>
      </w:r>
      <w:r w:rsidRPr="2B7A1252">
        <w:rPr>
          <w:b/>
          <w:bCs/>
        </w:rPr>
        <w:t>:</w:t>
      </w:r>
      <w:r>
        <w:t xml:space="preserve"> RAN3 agrees the UE triggers the SHR if at least one of the SHR trigger criteria is satisfied (including also new triggers as per proposal 4) with an indictor it is related to LTM cell switch.</w:t>
      </w:r>
    </w:p>
    <w:p w14:paraId="195C48F1" w14:textId="1C83FE7C" w:rsidR="004F54FA" w:rsidRPr="00EA1266" w:rsidRDefault="004F54FA" w:rsidP="004F54FA">
      <w:r>
        <w:lastRenderedPageBreak/>
        <w:t>Second part of the</w:t>
      </w:r>
      <w:r w:rsidRPr="00EA1266">
        <w:t xml:space="preserve"> contribution discussed on how to </w:t>
      </w:r>
      <w:r>
        <w:t>provide MRO for CHO with candidate SCG(s)</w:t>
      </w:r>
      <w:r w:rsidRPr="00EA1266">
        <w:t>. We have the following observations and proposals</w:t>
      </w:r>
      <w:r>
        <w:t>:</w:t>
      </w:r>
      <w:r w:rsidRPr="00EA1266">
        <w:t xml:space="preserve"> </w:t>
      </w:r>
    </w:p>
    <w:p w14:paraId="04670445" w14:textId="798B5E57" w:rsidR="004F54FA" w:rsidRDefault="004F54FA" w:rsidP="004F54FA">
      <w:pPr>
        <w:jc w:val="both"/>
      </w:pPr>
      <w:r w:rsidRPr="00DA1DDF">
        <w:rPr>
          <w:b/>
          <w:bCs/>
        </w:rPr>
        <w:t xml:space="preserve">Observation </w:t>
      </w:r>
      <w:r>
        <w:rPr>
          <w:b/>
          <w:bCs/>
        </w:rPr>
        <w:t>5</w:t>
      </w:r>
      <w:r w:rsidRPr="00DA1DDF">
        <w:rPr>
          <w:b/>
          <w:bCs/>
        </w:rPr>
        <w:t>:</w:t>
      </w:r>
      <w:r>
        <w:t xml:space="preserve"> The SHR and SPR monitoring is also applicable for CHO with candidate SCG(s). </w:t>
      </w:r>
    </w:p>
    <w:p w14:paraId="7F1B7FD0" w14:textId="43E41FE1" w:rsidR="004F54FA" w:rsidRDefault="004F54FA" w:rsidP="004F54FA">
      <w:pPr>
        <w:jc w:val="both"/>
      </w:pPr>
      <w:r w:rsidRPr="00DA1DDF">
        <w:rPr>
          <w:b/>
          <w:bCs/>
        </w:rPr>
        <w:t xml:space="preserve">Observation </w:t>
      </w:r>
      <w:r>
        <w:rPr>
          <w:b/>
          <w:bCs/>
        </w:rPr>
        <w:t>6</w:t>
      </w:r>
      <w:r w:rsidRPr="00DA1DDF">
        <w:rPr>
          <w:b/>
          <w:bCs/>
        </w:rPr>
        <w:t>:</w:t>
      </w:r>
      <w:r>
        <w:t xml:space="preserve"> CHO with candidate SCG(s) involves orthogonality meaning that candidate configuration will be executed only if both CHO and CPAC conditions are met. </w:t>
      </w:r>
    </w:p>
    <w:p w14:paraId="5D0349F8" w14:textId="3BBEA407" w:rsidR="004F54FA" w:rsidRDefault="004F54FA" w:rsidP="004F54FA">
      <w:pPr>
        <w:jc w:val="both"/>
      </w:pPr>
      <w:r w:rsidRPr="00DA1DDF">
        <w:rPr>
          <w:b/>
          <w:bCs/>
        </w:rPr>
        <w:t xml:space="preserve">Observation </w:t>
      </w:r>
      <w:r>
        <w:rPr>
          <w:b/>
          <w:bCs/>
        </w:rPr>
        <w:t>7</w:t>
      </w:r>
      <w:r w:rsidRPr="00DA1DDF">
        <w:rPr>
          <w:b/>
          <w:bCs/>
        </w:rPr>
        <w:t>:</w:t>
      </w:r>
      <w:r>
        <w:t xml:space="preserve"> The legacy way of independent SHR and SPR monitoring and consequent optimization may be insufficient for CHO with candidate SCG(s). </w:t>
      </w:r>
    </w:p>
    <w:p w14:paraId="62398F3A" w14:textId="03650F66" w:rsidR="004F54FA" w:rsidRDefault="004F54FA" w:rsidP="004F54FA">
      <w:pPr>
        <w:jc w:val="both"/>
      </w:pPr>
      <w:r>
        <w:rPr>
          <w:b/>
          <w:bCs/>
        </w:rPr>
        <w:t>Proposal</w:t>
      </w:r>
      <w:r w:rsidRPr="00DA1DDF">
        <w:rPr>
          <w:b/>
          <w:bCs/>
        </w:rPr>
        <w:t xml:space="preserve"> </w:t>
      </w:r>
      <w:r>
        <w:rPr>
          <w:b/>
          <w:bCs/>
        </w:rPr>
        <w:t>6</w:t>
      </w:r>
      <w:r w:rsidRPr="00DA1DDF">
        <w:rPr>
          <w:b/>
          <w:bCs/>
        </w:rPr>
        <w:t>:</w:t>
      </w:r>
      <w:r>
        <w:t xml:space="preserve"> </w:t>
      </w:r>
      <w:r w:rsidRPr="0022458A">
        <w:t xml:space="preserve">RAN3 agrees </w:t>
      </w:r>
      <w:r>
        <w:t xml:space="preserve">on analysis of the MRO for CHO with candidate SCG(s) from the perspective of the interdependency between CHO and CPAC configuration execution. </w:t>
      </w:r>
    </w:p>
    <w:p w14:paraId="55387FA2" w14:textId="11C6959A" w:rsidR="004F54FA" w:rsidRDefault="004F54FA" w:rsidP="004F54FA">
      <w:pPr>
        <w:jc w:val="both"/>
      </w:pPr>
      <w:r w:rsidRPr="00DA1DDF">
        <w:rPr>
          <w:b/>
          <w:bCs/>
        </w:rPr>
        <w:t xml:space="preserve">Observation </w:t>
      </w:r>
      <w:r>
        <w:rPr>
          <w:b/>
          <w:bCs/>
        </w:rPr>
        <w:t>8</w:t>
      </w:r>
      <w:r w:rsidRPr="00DA1DDF">
        <w:rPr>
          <w:b/>
          <w:bCs/>
        </w:rPr>
        <w:t>:</w:t>
      </w:r>
      <w:r>
        <w:t xml:space="preserve"> For MRO for CHO with candidate SCG(s) it may be beneficial to identify the blocking/wrong configuration. </w:t>
      </w:r>
    </w:p>
    <w:p w14:paraId="73854257" w14:textId="01E010EE" w:rsidR="004F54FA" w:rsidRDefault="004F54FA" w:rsidP="004F54FA">
      <w:pPr>
        <w:jc w:val="both"/>
      </w:pPr>
      <w:r>
        <w:rPr>
          <w:b/>
          <w:bCs/>
        </w:rPr>
        <w:t>Proposal</w:t>
      </w:r>
      <w:r w:rsidRPr="00DA1DDF">
        <w:rPr>
          <w:b/>
          <w:bCs/>
        </w:rPr>
        <w:t xml:space="preserve"> </w:t>
      </w:r>
      <w:r>
        <w:rPr>
          <w:b/>
          <w:bCs/>
        </w:rPr>
        <w:t>7</w:t>
      </w:r>
      <w:r w:rsidRPr="00DA1DDF">
        <w:rPr>
          <w:b/>
          <w:bCs/>
        </w:rPr>
        <w:t>:</w:t>
      </w:r>
      <w:r>
        <w:t xml:space="preserve"> </w:t>
      </w:r>
      <w:r w:rsidRPr="0022458A">
        <w:t xml:space="preserve">RAN3 agrees </w:t>
      </w:r>
      <w:r>
        <w:t xml:space="preserve">on deeper analysis of the blocking/wrong CHO/CPAC configuration for CHO with SCG(s) mobility which may be for example reported as new information in SHR/SPR when CHO/CPAC execution is delayed by the time interval which is above the configured threshold after the CPAC/CHO execution. </w:t>
      </w:r>
    </w:p>
    <w:p w14:paraId="4855A9B4" w14:textId="77777777" w:rsidR="004F54FA" w:rsidRDefault="004F54FA" w:rsidP="000101AA">
      <w:pPr>
        <w:jc w:val="both"/>
        <w:rPr>
          <w:bCs/>
        </w:rPr>
      </w:pPr>
    </w:p>
    <w:p w14:paraId="483F8717" w14:textId="77777777" w:rsidR="00403B9B" w:rsidRPr="000665EA" w:rsidRDefault="00403B9B" w:rsidP="00403B9B">
      <w:pPr>
        <w:pStyle w:val="Heading1"/>
      </w:pPr>
      <w:r w:rsidRPr="000665EA">
        <w:t>References</w:t>
      </w:r>
    </w:p>
    <w:p w14:paraId="2A234A74" w14:textId="0DE8F008" w:rsidR="00C157FC" w:rsidRPr="001B6CAC" w:rsidRDefault="00721A0D" w:rsidP="00004617">
      <w:pPr>
        <w:numPr>
          <w:ilvl w:val="0"/>
          <w:numId w:val="1"/>
        </w:numPr>
        <w:tabs>
          <w:tab w:val="right" w:pos="9639"/>
        </w:tabs>
        <w:overflowPunct w:val="0"/>
        <w:autoSpaceDE w:val="0"/>
        <w:autoSpaceDN w:val="0"/>
        <w:adjustRightInd w:val="0"/>
        <w:spacing w:after="0"/>
        <w:textAlignment w:val="baseline"/>
      </w:pPr>
      <w:r w:rsidRPr="0022096A">
        <w:rPr>
          <w:rFonts w:hint="eastAsia"/>
        </w:rPr>
        <w:t>RP-233116</w:t>
      </w:r>
      <w:r w:rsidR="000101AA">
        <w:t>, RAN #1</w:t>
      </w:r>
      <w:r w:rsidR="005F6406">
        <w:t>2</w:t>
      </w:r>
      <w:r>
        <w:t>0</w:t>
      </w:r>
    </w:p>
    <w:p w14:paraId="4730A6EE" w14:textId="77777777" w:rsidR="00C157FC" w:rsidRDefault="00C157FC" w:rsidP="00866556">
      <w:pPr>
        <w:pStyle w:val="CRCoverPage"/>
        <w:tabs>
          <w:tab w:val="right" w:pos="9639"/>
        </w:tabs>
        <w:spacing w:after="0"/>
        <w:rPr>
          <w:b/>
          <w:bCs/>
          <w:noProof/>
          <w:sz w:val="24"/>
          <w:szCs w:val="24"/>
        </w:rPr>
      </w:pPr>
    </w:p>
    <w:sectPr w:rsidR="00C157F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5DAED" w14:textId="77777777" w:rsidR="006C603D" w:rsidRDefault="006C603D">
      <w:r>
        <w:separator/>
      </w:r>
    </w:p>
  </w:endnote>
  <w:endnote w:type="continuationSeparator" w:id="0">
    <w:p w14:paraId="148C0BA4" w14:textId="77777777" w:rsidR="006C603D" w:rsidRDefault="006C603D">
      <w:r>
        <w:continuationSeparator/>
      </w:r>
    </w:p>
  </w:endnote>
  <w:endnote w:type="continuationNotice" w:id="1">
    <w:p w14:paraId="3BC1528D" w14:textId="77777777" w:rsidR="006C603D" w:rsidRDefault="006C60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031E6" w14:textId="77777777" w:rsidR="006C603D" w:rsidRDefault="006C603D">
      <w:r>
        <w:separator/>
      </w:r>
    </w:p>
  </w:footnote>
  <w:footnote w:type="continuationSeparator" w:id="0">
    <w:p w14:paraId="7D6A9B31" w14:textId="77777777" w:rsidR="006C603D" w:rsidRDefault="006C603D">
      <w:r>
        <w:continuationSeparator/>
      </w:r>
    </w:p>
  </w:footnote>
  <w:footnote w:type="continuationNotice" w:id="1">
    <w:p w14:paraId="49391C63" w14:textId="77777777" w:rsidR="006C603D" w:rsidRDefault="006C60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1C1E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3AE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C68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EB769A"/>
    <w:multiLevelType w:val="hybridMultilevel"/>
    <w:tmpl w:val="D5DCEC26"/>
    <w:lvl w:ilvl="0" w:tplc="D6760428">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D340B4"/>
    <w:multiLevelType w:val="hybridMultilevel"/>
    <w:tmpl w:val="D2FCA0D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20F10723"/>
    <w:multiLevelType w:val="multilevel"/>
    <w:tmpl w:val="DA385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CB67CB8"/>
    <w:multiLevelType w:val="hybridMultilevel"/>
    <w:tmpl w:val="68AAAE46"/>
    <w:lvl w:ilvl="0" w:tplc="4EF8F1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A51B84"/>
    <w:multiLevelType w:val="multilevel"/>
    <w:tmpl w:val="AD9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3F0C4D"/>
    <w:multiLevelType w:val="multilevel"/>
    <w:tmpl w:val="1AB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5B470DB"/>
    <w:multiLevelType w:val="multilevel"/>
    <w:tmpl w:val="35B4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356BFF"/>
    <w:multiLevelType w:val="multilevel"/>
    <w:tmpl w:val="AED4A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1"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2"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35"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7"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E1D87"/>
    <w:multiLevelType w:val="hybridMultilevel"/>
    <w:tmpl w:val="DBAAADCA"/>
    <w:lvl w:ilvl="0" w:tplc="2BCCB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E555BD"/>
    <w:multiLevelType w:val="multilevel"/>
    <w:tmpl w:val="77E55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9735360">
    <w:abstractNumId w:val="11"/>
  </w:num>
  <w:num w:numId="2" w16cid:durableId="41637885">
    <w:abstractNumId w:val="20"/>
  </w:num>
  <w:num w:numId="3" w16cid:durableId="284778111">
    <w:abstractNumId w:val="24"/>
  </w:num>
  <w:num w:numId="4" w16cid:durableId="738984423">
    <w:abstractNumId w:val="26"/>
  </w:num>
  <w:num w:numId="5" w16cid:durableId="1832982867">
    <w:abstractNumId w:val="22"/>
  </w:num>
  <w:num w:numId="6" w16cid:durableId="2063629037">
    <w:abstractNumId w:val="12"/>
  </w:num>
  <w:num w:numId="7" w16cid:durableId="1543979235">
    <w:abstractNumId w:val="9"/>
  </w:num>
  <w:num w:numId="8" w16cid:durableId="1030449189">
    <w:abstractNumId w:val="7"/>
  </w:num>
  <w:num w:numId="9" w16cid:durableId="1979068478">
    <w:abstractNumId w:val="6"/>
  </w:num>
  <w:num w:numId="10" w16cid:durableId="459105611">
    <w:abstractNumId w:val="5"/>
  </w:num>
  <w:num w:numId="11" w16cid:durableId="1529217414">
    <w:abstractNumId w:val="4"/>
  </w:num>
  <w:num w:numId="12" w16cid:durableId="1449734704">
    <w:abstractNumId w:val="8"/>
  </w:num>
  <w:num w:numId="13" w16cid:durableId="1993869794">
    <w:abstractNumId w:val="3"/>
  </w:num>
  <w:num w:numId="14" w16cid:durableId="1082600162">
    <w:abstractNumId w:val="2"/>
  </w:num>
  <w:num w:numId="15" w16cid:durableId="1474057911">
    <w:abstractNumId w:val="1"/>
  </w:num>
  <w:num w:numId="16" w16cid:durableId="1981180956">
    <w:abstractNumId w:val="0"/>
  </w:num>
  <w:num w:numId="17" w16cid:durableId="493685067">
    <w:abstractNumId w:val="40"/>
  </w:num>
  <w:num w:numId="18" w16cid:durableId="1122311895">
    <w:abstractNumId w:val="27"/>
  </w:num>
  <w:num w:numId="19" w16cid:durableId="451637128">
    <w:abstractNumId w:val="29"/>
  </w:num>
  <w:num w:numId="20" w16cid:durableId="517239769">
    <w:abstractNumId w:val="15"/>
  </w:num>
  <w:num w:numId="21" w16cid:durableId="1423330272">
    <w:abstractNumId w:val="23"/>
  </w:num>
  <w:num w:numId="22" w16cid:durableId="119231756">
    <w:abstractNumId w:val="35"/>
  </w:num>
  <w:num w:numId="23" w16cid:durableId="1645161434">
    <w:abstractNumId w:val="34"/>
  </w:num>
  <w:num w:numId="24" w16cid:durableId="64185097">
    <w:abstractNumId w:val="37"/>
  </w:num>
  <w:num w:numId="25" w16cid:durableId="447355586">
    <w:abstractNumId w:val="19"/>
  </w:num>
  <w:num w:numId="26" w16cid:durableId="10241392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9379456">
    <w:abstractNumId w:val="33"/>
  </w:num>
  <w:num w:numId="28" w16cid:durableId="869998375">
    <w:abstractNumId w:val="28"/>
  </w:num>
  <w:num w:numId="29" w16cid:durableId="1562984504">
    <w:abstractNumId w:val="18"/>
  </w:num>
  <w:num w:numId="30" w16cid:durableId="1419904382">
    <w:abstractNumId w:val="32"/>
  </w:num>
  <w:num w:numId="31" w16cid:durableId="1678922001">
    <w:abstractNumId w:val="10"/>
  </w:num>
  <w:num w:numId="32" w16cid:durableId="1597665309">
    <w:abstractNumId w:val="39"/>
  </w:num>
  <w:num w:numId="33" w16cid:durableId="953903336">
    <w:abstractNumId w:val="14"/>
  </w:num>
  <w:num w:numId="34" w16cid:durableId="1478955096">
    <w:abstractNumId w:val="38"/>
  </w:num>
  <w:num w:numId="35" w16cid:durableId="14539377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0497579">
    <w:abstractNumId w:val="25"/>
  </w:num>
  <w:num w:numId="37" w16cid:durableId="294338904">
    <w:abstractNumId w:val="21"/>
  </w:num>
  <w:num w:numId="38" w16cid:durableId="1305505978">
    <w:abstractNumId w:val="16"/>
  </w:num>
  <w:num w:numId="39" w16cid:durableId="256328973">
    <w:abstractNumId w:val="36"/>
  </w:num>
  <w:num w:numId="40" w16cid:durableId="1831871289">
    <w:abstractNumId w:val="13"/>
  </w:num>
  <w:num w:numId="41" w16cid:durableId="1533418863">
    <w:abstractNumId w:val="41"/>
  </w:num>
  <w:num w:numId="42" w16cid:durableId="714158844">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AC2"/>
    <w:rsid w:val="00003B2C"/>
    <w:rsid w:val="00004617"/>
    <w:rsid w:val="000048E9"/>
    <w:rsid w:val="00004B42"/>
    <w:rsid w:val="00005C0A"/>
    <w:rsid w:val="00006C9E"/>
    <w:rsid w:val="00006E48"/>
    <w:rsid w:val="00007340"/>
    <w:rsid w:val="000101AA"/>
    <w:rsid w:val="0001041D"/>
    <w:rsid w:val="00010708"/>
    <w:rsid w:val="00011A79"/>
    <w:rsid w:val="000127F7"/>
    <w:rsid w:val="00012ED2"/>
    <w:rsid w:val="00013650"/>
    <w:rsid w:val="00014191"/>
    <w:rsid w:val="000146C7"/>
    <w:rsid w:val="000149CB"/>
    <w:rsid w:val="000170DA"/>
    <w:rsid w:val="00017229"/>
    <w:rsid w:val="00017509"/>
    <w:rsid w:val="00017E54"/>
    <w:rsid w:val="00020415"/>
    <w:rsid w:val="00022A55"/>
    <w:rsid w:val="000231BE"/>
    <w:rsid w:val="000236DD"/>
    <w:rsid w:val="00025E29"/>
    <w:rsid w:val="00026035"/>
    <w:rsid w:val="0002700F"/>
    <w:rsid w:val="000275B2"/>
    <w:rsid w:val="000304FC"/>
    <w:rsid w:val="00031E7F"/>
    <w:rsid w:val="00032E6B"/>
    <w:rsid w:val="00033397"/>
    <w:rsid w:val="000342C7"/>
    <w:rsid w:val="000368CB"/>
    <w:rsid w:val="00040095"/>
    <w:rsid w:val="00040852"/>
    <w:rsid w:val="00042620"/>
    <w:rsid w:val="00044828"/>
    <w:rsid w:val="00044AC7"/>
    <w:rsid w:val="00045D78"/>
    <w:rsid w:val="0004695C"/>
    <w:rsid w:val="00046EE4"/>
    <w:rsid w:val="000475F2"/>
    <w:rsid w:val="00050D06"/>
    <w:rsid w:val="00050FEA"/>
    <w:rsid w:val="00051152"/>
    <w:rsid w:val="00051B46"/>
    <w:rsid w:val="00051D03"/>
    <w:rsid w:val="0005208F"/>
    <w:rsid w:val="0005212E"/>
    <w:rsid w:val="000523A1"/>
    <w:rsid w:val="0005262E"/>
    <w:rsid w:val="00053754"/>
    <w:rsid w:val="00054530"/>
    <w:rsid w:val="00054AB2"/>
    <w:rsid w:val="00054F0E"/>
    <w:rsid w:val="0005648A"/>
    <w:rsid w:val="00056FCD"/>
    <w:rsid w:val="0005706E"/>
    <w:rsid w:val="0005753D"/>
    <w:rsid w:val="00061BD0"/>
    <w:rsid w:val="00062C6F"/>
    <w:rsid w:val="000635EE"/>
    <w:rsid w:val="00063F07"/>
    <w:rsid w:val="00064BA2"/>
    <w:rsid w:val="00064BCA"/>
    <w:rsid w:val="00064D12"/>
    <w:rsid w:val="000665EA"/>
    <w:rsid w:val="000670B5"/>
    <w:rsid w:val="00067E1F"/>
    <w:rsid w:val="000705C2"/>
    <w:rsid w:val="00071F01"/>
    <w:rsid w:val="00072A62"/>
    <w:rsid w:val="000733CD"/>
    <w:rsid w:val="00074356"/>
    <w:rsid w:val="000748B3"/>
    <w:rsid w:val="00074A6D"/>
    <w:rsid w:val="00074E0B"/>
    <w:rsid w:val="00076551"/>
    <w:rsid w:val="00076A45"/>
    <w:rsid w:val="00077822"/>
    <w:rsid w:val="0008022F"/>
    <w:rsid w:val="00080512"/>
    <w:rsid w:val="0008068B"/>
    <w:rsid w:val="00080EF0"/>
    <w:rsid w:val="00081167"/>
    <w:rsid w:val="00081942"/>
    <w:rsid w:val="00081C52"/>
    <w:rsid w:val="00082379"/>
    <w:rsid w:val="00082F68"/>
    <w:rsid w:val="0008382D"/>
    <w:rsid w:val="00083AB3"/>
    <w:rsid w:val="0008533B"/>
    <w:rsid w:val="00086000"/>
    <w:rsid w:val="0008682B"/>
    <w:rsid w:val="00086B99"/>
    <w:rsid w:val="00086C04"/>
    <w:rsid w:val="00090AF9"/>
    <w:rsid w:val="000925FD"/>
    <w:rsid w:val="00096BF9"/>
    <w:rsid w:val="00096F5A"/>
    <w:rsid w:val="000A07C2"/>
    <w:rsid w:val="000A1353"/>
    <w:rsid w:val="000A14C6"/>
    <w:rsid w:val="000A175A"/>
    <w:rsid w:val="000A2BC0"/>
    <w:rsid w:val="000A36B8"/>
    <w:rsid w:val="000A4BFA"/>
    <w:rsid w:val="000A6A4F"/>
    <w:rsid w:val="000B07F1"/>
    <w:rsid w:val="000B1DBC"/>
    <w:rsid w:val="000B24FA"/>
    <w:rsid w:val="000B2EEB"/>
    <w:rsid w:val="000B4278"/>
    <w:rsid w:val="000B53A8"/>
    <w:rsid w:val="000B71F3"/>
    <w:rsid w:val="000B7558"/>
    <w:rsid w:val="000B7BCF"/>
    <w:rsid w:val="000C00D3"/>
    <w:rsid w:val="000C1438"/>
    <w:rsid w:val="000C1CC1"/>
    <w:rsid w:val="000C2A2A"/>
    <w:rsid w:val="000C3436"/>
    <w:rsid w:val="000C4851"/>
    <w:rsid w:val="000C5C6A"/>
    <w:rsid w:val="000C5F50"/>
    <w:rsid w:val="000C6894"/>
    <w:rsid w:val="000C6AF3"/>
    <w:rsid w:val="000C6D96"/>
    <w:rsid w:val="000C7039"/>
    <w:rsid w:val="000D01E4"/>
    <w:rsid w:val="000D0AFF"/>
    <w:rsid w:val="000D10EB"/>
    <w:rsid w:val="000D3E0B"/>
    <w:rsid w:val="000D4200"/>
    <w:rsid w:val="000D458F"/>
    <w:rsid w:val="000D4960"/>
    <w:rsid w:val="000D4D03"/>
    <w:rsid w:val="000D58AB"/>
    <w:rsid w:val="000D7DAA"/>
    <w:rsid w:val="000D7DC9"/>
    <w:rsid w:val="000D7DCE"/>
    <w:rsid w:val="000E153B"/>
    <w:rsid w:val="000E1D48"/>
    <w:rsid w:val="000E1DEB"/>
    <w:rsid w:val="000E2120"/>
    <w:rsid w:val="000E2948"/>
    <w:rsid w:val="000E3312"/>
    <w:rsid w:val="000E3B49"/>
    <w:rsid w:val="000E490B"/>
    <w:rsid w:val="000E52CC"/>
    <w:rsid w:val="000E5662"/>
    <w:rsid w:val="000E5B70"/>
    <w:rsid w:val="000E72CB"/>
    <w:rsid w:val="000E7E52"/>
    <w:rsid w:val="000F168E"/>
    <w:rsid w:val="000F16C4"/>
    <w:rsid w:val="000F403E"/>
    <w:rsid w:val="000F4440"/>
    <w:rsid w:val="000F4EBF"/>
    <w:rsid w:val="000F551E"/>
    <w:rsid w:val="000F5C57"/>
    <w:rsid w:val="001000CD"/>
    <w:rsid w:val="00100C6F"/>
    <w:rsid w:val="00101413"/>
    <w:rsid w:val="00101F3D"/>
    <w:rsid w:val="00103188"/>
    <w:rsid w:val="0010459B"/>
    <w:rsid w:val="00105806"/>
    <w:rsid w:val="00106D69"/>
    <w:rsid w:val="00107F32"/>
    <w:rsid w:val="001124BC"/>
    <w:rsid w:val="001127A9"/>
    <w:rsid w:val="0011330F"/>
    <w:rsid w:val="00113DE4"/>
    <w:rsid w:val="0011530D"/>
    <w:rsid w:val="001153B3"/>
    <w:rsid w:val="00116440"/>
    <w:rsid w:val="00117A12"/>
    <w:rsid w:val="00120A77"/>
    <w:rsid w:val="001219A2"/>
    <w:rsid w:val="001221B6"/>
    <w:rsid w:val="00123F52"/>
    <w:rsid w:val="00124052"/>
    <w:rsid w:val="00124E93"/>
    <w:rsid w:val="00125139"/>
    <w:rsid w:val="00126062"/>
    <w:rsid w:val="00126B29"/>
    <w:rsid w:val="00127A6C"/>
    <w:rsid w:val="00127AA3"/>
    <w:rsid w:val="001308CC"/>
    <w:rsid w:val="00130F46"/>
    <w:rsid w:val="001326A8"/>
    <w:rsid w:val="00132931"/>
    <w:rsid w:val="00132C93"/>
    <w:rsid w:val="00132F35"/>
    <w:rsid w:val="001335E3"/>
    <w:rsid w:val="00135755"/>
    <w:rsid w:val="0013680F"/>
    <w:rsid w:val="00136A09"/>
    <w:rsid w:val="00140A8D"/>
    <w:rsid w:val="00140AF7"/>
    <w:rsid w:val="00141F05"/>
    <w:rsid w:val="00142564"/>
    <w:rsid w:val="001448B3"/>
    <w:rsid w:val="001450A6"/>
    <w:rsid w:val="00145FFB"/>
    <w:rsid w:val="0014626D"/>
    <w:rsid w:val="001469E9"/>
    <w:rsid w:val="00146A08"/>
    <w:rsid w:val="00146E3F"/>
    <w:rsid w:val="0014785F"/>
    <w:rsid w:val="00147F59"/>
    <w:rsid w:val="00147FBA"/>
    <w:rsid w:val="001509F1"/>
    <w:rsid w:val="00151A61"/>
    <w:rsid w:val="00153B11"/>
    <w:rsid w:val="00154290"/>
    <w:rsid w:val="00155D37"/>
    <w:rsid w:val="0015684E"/>
    <w:rsid w:val="0015741E"/>
    <w:rsid w:val="001577BF"/>
    <w:rsid w:val="001609C9"/>
    <w:rsid w:val="00161E2C"/>
    <w:rsid w:val="001624A3"/>
    <w:rsid w:val="001629A8"/>
    <w:rsid w:val="0016401A"/>
    <w:rsid w:val="00164233"/>
    <w:rsid w:val="001642A3"/>
    <w:rsid w:val="00164774"/>
    <w:rsid w:val="001649F0"/>
    <w:rsid w:val="00164BE0"/>
    <w:rsid w:val="00164D68"/>
    <w:rsid w:val="0016591F"/>
    <w:rsid w:val="00166347"/>
    <w:rsid w:val="00166918"/>
    <w:rsid w:val="00166D96"/>
    <w:rsid w:val="001722AC"/>
    <w:rsid w:val="00172AFA"/>
    <w:rsid w:val="001735E3"/>
    <w:rsid w:val="00175E47"/>
    <w:rsid w:val="00175F8A"/>
    <w:rsid w:val="00176405"/>
    <w:rsid w:val="00176F32"/>
    <w:rsid w:val="001777C8"/>
    <w:rsid w:val="001802A7"/>
    <w:rsid w:val="0018062D"/>
    <w:rsid w:val="0018387C"/>
    <w:rsid w:val="001846BC"/>
    <w:rsid w:val="00185B0F"/>
    <w:rsid w:val="00186739"/>
    <w:rsid w:val="00186930"/>
    <w:rsid w:val="00186FC5"/>
    <w:rsid w:val="00187D05"/>
    <w:rsid w:val="00187F07"/>
    <w:rsid w:val="0019067C"/>
    <w:rsid w:val="00190F4B"/>
    <w:rsid w:val="001923C0"/>
    <w:rsid w:val="00193D68"/>
    <w:rsid w:val="00194CD0"/>
    <w:rsid w:val="0019505B"/>
    <w:rsid w:val="00195C59"/>
    <w:rsid w:val="00195D98"/>
    <w:rsid w:val="0019657E"/>
    <w:rsid w:val="00196B97"/>
    <w:rsid w:val="00197002"/>
    <w:rsid w:val="001A0534"/>
    <w:rsid w:val="001A1B05"/>
    <w:rsid w:val="001A2296"/>
    <w:rsid w:val="001A2F0F"/>
    <w:rsid w:val="001A37C4"/>
    <w:rsid w:val="001A445F"/>
    <w:rsid w:val="001A6676"/>
    <w:rsid w:val="001A68CF"/>
    <w:rsid w:val="001A7E3F"/>
    <w:rsid w:val="001B00BD"/>
    <w:rsid w:val="001B0179"/>
    <w:rsid w:val="001B05CE"/>
    <w:rsid w:val="001B0E81"/>
    <w:rsid w:val="001B290B"/>
    <w:rsid w:val="001B3A8A"/>
    <w:rsid w:val="001B5425"/>
    <w:rsid w:val="001B59BB"/>
    <w:rsid w:val="001B5E34"/>
    <w:rsid w:val="001B6CAC"/>
    <w:rsid w:val="001B7434"/>
    <w:rsid w:val="001B7E7E"/>
    <w:rsid w:val="001B7E9B"/>
    <w:rsid w:val="001C0452"/>
    <w:rsid w:val="001C0E24"/>
    <w:rsid w:val="001C0E25"/>
    <w:rsid w:val="001C0EE1"/>
    <w:rsid w:val="001C0F32"/>
    <w:rsid w:val="001C34C9"/>
    <w:rsid w:val="001C6B84"/>
    <w:rsid w:val="001C6C7A"/>
    <w:rsid w:val="001C6D3D"/>
    <w:rsid w:val="001C76D1"/>
    <w:rsid w:val="001C7DA1"/>
    <w:rsid w:val="001C7E5B"/>
    <w:rsid w:val="001D0230"/>
    <w:rsid w:val="001D068F"/>
    <w:rsid w:val="001D0C9C"/>
    <w:rsid w:val="001D1CF4"/>
    <w:rsid w:val="001D1DAF"/>
    <w:rsid w:val="001D3684"/>
    <w:rsid w:val="001D393D"/>
    <w:rsid w:val="001D3A90"/>
    <w:rsid w:val="001D412B"/>
    <w:rsid w:val="001D4A75"/>
    <w:rsid w:val="001D6244"/>
    <w:rsid w:val="001D6AAA"/>
    <w:rsid w:val="001D6CB7"/>
    <w:rsid w:val="001E0B79"/>
    <w:rsid w:val="001E12EF"/>
    <w:rsid w:val="001E15E2"/>
    <w:rsid w:val="001E25E9"/>
    <w:rsid w:val="001E27A1"/>
    <w:rsid w:val="001E2BED"/>
    <w:rsid w:val="001E3272"/>
    <w:rsid w:val="001E36F2"/>
    <w:rsid w:val="001E407C"/>
    <w:rsid w:val="001E4C7F"/>
    <w:rsid w:val="001E5406"/>
    <w:rsid w:val="001E7AB9"/>
    <w:rsid w:val="001F0ACB"/>
    <w:rsid w:val="001F10EA"/>
    <w:rsid w:val="001F11CE"/>
    <w:rsid w:val="001F1506"/>
    <w:rsid w:val="001F168B"/>
    <w:rsid w:val="001F5584"/>
    <w:rsid w:val="001F63AE"/>
    <w:rsid w:val="001F63C5"/>
    <w:rsid w:val="001F6546"/>
    <w:rsid w:val="001F6772"/>
    <w:rsid w:val="001F6925"/>
    <w:rsid w:val="001F6931"/>
    <w:rsid w:val="001F6A18"/>
    <w:rsid w:val="001F701E"/>
    <w:rsid w:val="002002E9"/>
    <w:rsid w:val="00201377"/>
    <w:rsid w:val="00201FD2"/>
    <w:rsid w:val="0020399F"/>
    <w:rsid w:val="00203B4C"/>
    <w:rsid w:val="00203F5B"/>
    <w:rsid w:val="002047A9"/>
    <w:rsid w:val="002055E0"/>
    <w:rsid w:val="0020566E"/>
    <w:rsid w:val="002057BC"/>
    <w:rsid w:val="00205DCD"/>
    <w:rsid w:val="0020722D"/>
    <w:rsid w:val="0021001F"/>
    <w:rsid w:val="0021049E"/>
    <w:rsid w:val="0021199F"/>
    <w:rsid w:val="00212588"/>
    <w:rsid w:val="002126C7"/>
    <w:rsid w:val="002140ED"/>
    <w:rsid w:val="00215C92"/>
    <w:rsid w:val="00216A77"/>
    <w:rsid w:val="00216F12"/>
    <w:rsid w:val="002175D9"/>
    <w:rsid w:val="0022096A"/>
    <w:rsid w:val="002220BB"/>
    <w:rsid w:val="0022219E"/>
    <w:rsid w:val="0022265E"/>
    <w:rsid w:val="00222918"/>
    <w:rsid w:val="0022458A"/>
    <w:rsid w:val="0022526D"/>
    <w:rsid w:val="00225627"/>
    <w:rsid w:val="0022606D"/>
    <w:rsid w:val="00227830"/>
    <w:rsid w:val="0023050E"/>
    <w:rsid w:val="00230567"/>
    <w:rsid w:val="00230A53"/>
    <w:rsid w:val="00230C70"/>
    <w:rsid w:val="00230C89"/>
    <w:rsid w:val="00230CAD"/>
    <w:rsid w:val="00231073"/>
    <w:rsid w:val="002313AB"/>
    <w:rsid w:val="002327FF"/>
    <w:rsid w:val="00232E32"/>
    <w:rsid w:val="00233415"/>
    <w:rsid w:val="002354F1"/>
    <w:rsid w:val="002368EA"/>
    <w:rsid w:val="00237306"/>
    <w:rsid w:val="002407E5"/>
    <w:rsid w:val="00241375"/>
    <w:rsid w:val="0024197E"/>
    <w:rsid w:val="0024253D"/>
    <w:rsid w:val="00242A11"/>
    <w:rsid w:val="00243E24"/>
    <w:rsid w:val="00244418"/>
    <w:rsid w:val="0024510A"/>
    <w:rsid w:val="002456E8"/>
    <w:rsid w:val="0024727F"/>
    <w:rsid w:val="00247E55"/>
    <w:rsid w:val="002507C0"/>
    <w:rsid w:val="002510CE"/>
    <w:rsid w:val="00251AFE"/>
    <w:rsid w:val="00252D71"/>
    <w:rsid w:val="00252E47"/>
    <w:rsid w:val="0025393D"/>
    <w:rsid w:val="00254371"/>
    <w:rsid w:val="00254642"/>
    <w:rsid w:val="00254EBB"/>
    <w:rsid w:val="00255094"/>
    <w:rsid w:val="00256316"/>
    <w:rsid w:val="0025778B"/>
    <w:rsid w:val="002608BB"/>
    <w:rsid w:val="00260FC4"/>
    <w:rsid w:val="002626C3"/>
    <w:rsid w:val="00262878"/>
    <w:rsid w:val="002628C6"/>
    <w:rsid w:val="00262D37"/>
    <w:rsid w:val="00262E52"/>
    <w:rsid w:val="0026359D"/>
    <w:rsid w:val="00263901"/>
    <w:rsid w:val="00263EC0"/>
    <w:rsid w:val="00264132"/>
    <w:rsid w:val="00265F20"/>
    <w:rsid w:val="00266F7B"/>
    <w:rsid w:val="00267F60"/>
    <w:rsid w:val="00267FA7"/>
    <w:rsid w:val="002716E8"/>
    <w:rsid w:val="00271CCC"/>
    <w:rsid w:val="00273ACC"/>
    <w:rsid w:val="00273EAB"/>
    <w:rsid w:val="00274098"/>
    <w:rsid w:val="002747EC"/>
    <w:rsid w:val="00274D2E"/>
    <w:rsid w:val="00275486"/>
    <w:rsid w:val="002804C3"/>
    <w:rsid w:val="00280D7B"/>
    <w:rsid w:val="0028199F"/>
    <w:rsid w:val="00282E7F"/>
    <w:rsid w:val="0028319D"/>
    <w:rsid w:val="00283D99"/>
    <w:rsid w:val="00284355"/>
    <w:rsid w:val="002845EF"/>
    <w:rsid w:val="002855BF"/>
    <w:rsid w:val="00286494"/>
    <w:rsid w:val="002864B2"/>
    <w:rsid w:val="00286CBC"/>
    <w:rsid w:val="00287E09"/>
    <w:rsid w:val="00290FC8"/>
    <w:rsid w:val="00291C9C"/>
    <w:rsid w:val="00292DD5"/>
    <w:rsid w:val="0029437A"/>
    <w:rsid w:val="0029482D"/>
    <w:rsid w:val="00294D9C"/>
    <w:rsid w:val="002952BC"/>
    <w:rsid w:val="002970D2"/>
    <w:rsid w:val="002972BE"/>
    <w:rsid w:val="002977E1"/>
    <w:rsid w:val="002A06B8"/>
    <w:rsid w:val="002A0D32"/>
    <w:rsid w:val="002A100F"/>
    <w:rsid w:val="002A112E"/>
    <w:rsid w:val="002A2A41"/>
    <w:rsid w:val="002A362A"/>
    <w:rsid w:val="002A3CBD"/>
    <w:rsid w:val="002A57F7"/>
    <w:rsid w:val="002A58EC"/>
    <w:rsid w:val="002A6219"/>
    <w:rsid w:val="002A7EF7"/>
    <w:rsid w:val="002B0220"/>
    <w:rsid w:val="002B0529"/>
    <w:rsid w:val="002B3CF1"/>
    <w:rsid w:val="002B446B"/>
    <w:rsid w:val="002B498B"/>
    <w:rsid w:val="002B4E49"/>
    <w:rsid w:val="002B5A2A"/>
    <w:rsid w:val="002B7066"/>
    <w:rsid w:val="002B707A"/>
    <w:rsid w:val="002B7A14"/>
    <w:rsid w:val="002C0213"/>
    <w:rsid w:val="002C1082"/>
    <w:rsid w:val="002C1192"/>
    <w:rsid w:val="002C1220"/>
    <w:rsid w:val="002C1249"/>
    <w:rsid w:val="002C2085"/>
    <w:rsid w:val="002C2362"/>
    <w:rsid w:val="002C363B"/>
    <w:rsid w:val="002C3D2A"/>
    <w:rsid w:val="002C4C12"/>
    <w:rsid w:val="002C4C9C"/>
    <w:rsid w:val="002C54F7"/>
    <w:rsid w:val="002C65A9"/>
    <w:rsid w:val="002C7D12"/>
    <w:rsid w:val="002D0630"/>
    <w:rsid w:val="002D0CB7"/>
    <w:rsid w:val="002D26EE"/>
    <w:rsid w:val="002D3E70"/>
    <w:rsid w:val="002D4138"/>
    <w:rsid w:val="002D4EC6"/>
    <w:rsid w:val="002D5587"/>
    <w:rsid w:val="002D559B"/>
    <w:rsid w:val="002E0428"/>
    <w:rsid w:val="002E0503"/>
    <w:rsid w:val="002E0B99"/>
    <w:rsid w:val="002E0DE8"/>
    <w:rsid w:val="002E124D"/>
    <w:rsid w:val="002E1A34"/>
    <w:rsid w:val="002E2F38"/>
    <w:rsid w:val="002E3237"/>
    <w:rsid w:val="002E4FF6"/>
    <w:rsid w:val="002E57E8"/>
    <w:rsid w:val="002E66E8"/>
    <w:rsid w:val="002E6CDE"/>
    <w:rsid w:val="002E7082"/>
    <w:rsid w:val="002F098C"/>
    <w:rsid w:val="002F0C0B"/>
    <w:rsid w:val="002F0C28"/>
    <w:rsid w:val="002F0D22"/>
    <w:rsid w:val="002F1207"/>
    <w:rsid w:val="002F2360"/>
    <w:rsid w:val="002F2477"/>
    <w:rsid w:val="002F2626"/>
    <w:rsid w:val="002F3A38"/>
    <w:rsid w:val="002F4257"/>
    <w:rsid w:val="002F59E9"/>
    <w:rsid w:val="002F7B2D"/>
    <w:rsid w:val="002F7DA6"/>
    <w:rsid w:val="0030018E"/>
    <w:rsid w:val="00300F14"/>
    <w:rsid w:val="00301722"/>
    <w:rsid w:val="00303802"/>
    <w:rsid w:val="003046AC"/>
    <w:rsid w:val="00304A50"/>
    <w:rsid w:val="0030508D"/>
    <w:rsid w:val="00306E60"/>
    <w:rsid w:val="00306F6C"/>
    <w:rsid w:val="0030728C"/>
    <w:rsid w:val="003074F3"/>
    <w:rsid w:val="00307F65"/>
    <w:rsid w:val="00310409"/>
    <w:rsid w:val="00310681"/>
    <w:rsid w:val="00310921"/>
    <w:rsid w:val="00311508"/>
    <w:rsid w:val="003121E2"/>
    <w:rsid w:val="00312B8C"/>
    <w:rsid w:val="00313C14"/>
    <w:rsid w:val="00314AEC"/>
    <w:rsid w:val="00314C2A"/>
    <w:rsid w:val="00315903"/>
    <w:rsid w:val="003164FF"/>
    <w:rsid w:val="003172DC"/>
    <w:rsid w:val="003201EF"/>
    <w:rsid w:val="0032093A"/>
    <w:rsid w:val="00324688"/>
    <w:rsid w:val="00325015"/>
    <w:rsid w:val="00325C0F"/>
    <w:rsid w:val="00326069"/>
    <w:rsid w:val="00326DC1"/>
    <w:rsid w:val="003310A8"/>
    <w:rsid w:val="003321D6"/>
    <w:rsid w:val="003322D4"/>
    <w:rsid w:val="003330E3"/>
    <w:rsid w:val="003332CA"/>
    <w:rsid w:val="00333761"/>
    <w:rsid w:val="00334964"/>
    <w:rsid w:val="003368FA"/>
    <w:rsid w:val="003377F6"/>
    <w:rsid w:val="00340621"/>
    <w:rsid w:val="003413A2"/>
    <w:rsid w:val="00341736"/>
    <w:rsid w:val="00341FC1"/>
    <w:rsid w:val="003424D0"/>
    <w:rsid w:val="00342E82"/>
    <w:rsid w:val="00342EF7"/>
    <w:rsid w:val="00344393"/>
    <w:rsid w:val="003454FC"/>
    <w:rsid w:val="0034604A"/>
    <w:rsid w:val="00346189"/>
    <w:rsid w:val="00346584"/>
    <w:rsid w:val="00346E0A"/>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5AF"/>
    <w:rsid w:val="00363711"/>
    <w:rsid w:val="0036469A"/>
    <w:rsid w:val="0036521C"/>
    <w:rsid w:val="003661B8"/>
    <w:rsid w:val="0037010F"/>
    <w:rsid w:val="00371168"/>
    <w:rsid w:val="00371C18"/>
    <w:rsid w:val="0037356D"/>
    <w:rsid w:val="0037419B"/>
    <w:rsid w:val="0037429E"/>
    <w:rsid w:val="003763AC"/>
    <w:rsid w:val="003770E5"/>
    <w:rsid w:val="0037722C"/>
    <w:rsid w:val="00380699"/>
    <w:rsid w:val="00380CEB"/>
    <w:rsid w:val="00380DAC"/>
    <w:rsid w:val="00382E40"/>
    <w:rsid w:val="0038326F"/>
    <w:rsid w:val="003845F4"/>
    <w:rsid w:val="0038698C"/>
    <w:rsid w:val="003872BA"/>
    <w:rsid w:val="0038731B"/>
    <w:rsid w:val="00387439"/>
    <w:rsid w:val="00391257"/>
    <w:rsid w:val="00392386"/>
    <w:rsid w:val="0039304A"/>
    <w:rsid w:val="003942E3"/>
    <w:rsid w:val="003953AB"/>
    <w:rsid w:val="00395FDA"/>
    <w:rsid w:val="003976C3"/>
    <w:rsid w:val="00397BF5"/>
    <w:rsid w:val="00397EE1"/>
    <w:rsid w:val="003A1194"/>
    <w:rsid w:val="003A3574"/>
    <w:rsid w:val="003A5510"/>
    <w:rsid w:val="003A68D5"/>
    <w:rsid w:val="003A7D82"/>
    <w:rsid w:val="003B2140"/>
    <w:rsid w:val="003B479D"/>
    <w:rsid w:val="003B4B3D"/>
    <w:rsid w:val="003B50E1"/>
    <w:rsid w:val="003B600A"/>
    <w:rsid w:val="003B6B71"/>
    <w:rsid w:val="003C12FD"/>
    <w:rsid w:val="003C14DD"/>
    <w:rsid w:val="003C2323"/>
    <w:rsid w:val="003C304E"/>
    <w:rsid w:val="003C333B"/>
    <w:rsid w:val="003C3459"/>
    <w:rsid w:val="003C48A5"/>
    <w:rsid w:val="003C4E37"/>
    <w:rsid w:val="003C53A9"/>
    <w:rsid w:val="003C68D5"/>
    <w:rsid w:val="003C7671"/>
    <w:rsid w:val="003C783D"/>
    <w:rsid w:val="003D0BE2"/>
    <w:rsid w:val="003D0DC7"/>
    <w:rsid w:val="003D15E2"/>
    <w:rsid w:val="003D165B"/>
    <w:rsid w:val="003D1B45"/>
    <w:rsid w:val="003D230F"/>
    <w:rsid w:val="003D30B8"/>
    <w:rsid w:val="003D50E6"/>
    <w:rsid w:val="003D59CD"/>
    <w:rsid w:val="003D5BC0"/>
    <w:rsid w:val="003D68B5"/>
    <w:rsid w:val="003D7C4B"/>
    <w:rsid w:val="003E0B97"/>
    <w:rsid w:val="003E16BE"/>
    <w:rsid w:val="003E2013"/>
    <w:rsid w:val="003E215C"/>
    <w:rsid w:val="003E4235"/>
    <w:rsid w:val="003E7124"/>
    <w:rsid w:val="003E7A32"/>
    <w:rsid w:val="003E7FB9"/>
    <w:rsid w:val="003F02BD"/>
    <w:rsid w:val="003F08A0"/>
    <w:rsid w:val="003F0966"/>
    <w:rsid w:val="003F11E0"/>
    <w:rsid w:val="003F2C04"/>
    <w:rsid w:val="003F39F5"/>
    <w:rsid w:val="003F45E3"/>
    <w:rsid w:val="003F4EB9"/>
    <w:rsid w:val="003F51E9"/>
    <w:rsid w:val="003F5AB6"/>
    <w:rsid w:val="003F5B6D"/>
    <w:rsid w:val="003F619A"/>
    <w:rsid w:val="003F688C"/>
    <w:rsid w:val="00400D25"/>
    <w:rsid w:val="00400DEB"/>
    <w:rsid w:val="00401855"/>
    <w:rsid w:val="00401880"/>
    <w:rsid w:val="004036C4"/>
    <w:rsid w:val="00403AFD"/>
    <w:rsid w:val="00403B9B"/>
    <w:rsid w:val="004044D7"/>
    <w:rsid w:val="00404E26"/>
    <w:rsid w:val="00406AAF"/>
    <w:rsid w:val="0040759B"/>
    <w:rsid w:val="00407D04"/>
    <w:rsid w:val="00411139"/>
    <w:rsid w:val="00411A17"/>
    <w:rsid w:val="00413038"/>
    <w:rsid w:val="00413232"/>
    <w:rsid w:val="00413BE2"/>
    <w:rsid w:val="0041440D"/>
    <w:rsid w:val="0041566D"/>
    <w:rsid w:val="004168D2"/>
    <w:rsid w:val="00420701"/>
    <w:rsid w:val="00424B9F"/>
    <w:rsid w:val="00426E7A"/>
    <w:rsid w:val="00431A1A"/>
    <w:rsid w:val="0043223E"/>
    <w:rsid w:val="00433333"/>
    <w:rsid w:val="00433608"/>
    <w:rsid w:val="00433E79"/>
    <w:rsid w:val="004345F4"/>
    <w:rsid w:val="00434D7B"/>
    <w:rsid w:val="00435CA3"/>
    <w:rsid w:val="004366C3"/>
    <w:rsid w:val="00436CF3"/>
    <w:rsid w:val="00437774"/>
    <w:rsid w:val="00437A96"/>
    <w:rsid w:val="0044028F"/>
    <w:rsid w:val="0044084F"/>
    <w:rsid w:val="00440935"/>
    <w:rsid w:val="00440E4C"/>
    <w:rsid w:val="00441910"/>
    <w:rsid w:val="004446E8"/>
    <w:rsid w:val="0044513F"/>
    <w:rsid w:val="00445EB0"/>
    <w:rsid w:val="00446DBD"/>
    <w:rsid w:val="0044750C"/>
    <w:rsid w:val="00450326"/>
    <w:rsid w:val="00450759"/>
    <w:rsid w:val="00453BB0"/>
    <w:rsid w:val="0045441A"/>
    <w:rsid w:val="00454465"/>
    <w:rsid w:val="00454E20"/>
    <w:rsid w:val="00457C85"/>
    <w:rsid w:val="00457EE3"/>
    <w:rsid w:val="004603B6"/>
    <w:rsid w:val="00460D8B"/>
    <w:rsid w:val="00462C50"/>
    <w:rsid w:val="00462CF6"/>
    <w:rsid w:val="00464BF9"/>
    <w:rsid w:val="00465309"/>
    <w:rsid w:val="004656FD"/>
    <w:rsid w:val="00465AE0"/>
    <w:rsid w:val="00465C8F"/>
    <w:rsid w:val="00465DD6"/>
    <w:rsid w:val="00467718"/>
    <w:rsid w:val="00470459"/>
    <w:rsid w:val="00471777"/>
    <w:rsid w:val="00472274"/>
    <w:rsid w:val="004745E6"/>
    <w:rsid w:val="004763A2"/>
    <w:rsid w:val="00477373"/>
    <w:rsid w:val="00477911"/>
    <w:rsid w:val="00480550"/>
    <w:rsid w:val="0048306D"/>
    <w:rsid w:val="00483AFF"/>
    <w:rsid w:val="00483FDB"/>
    <w:rsid w:val="00484DBF"/>
    <w:rsid w:val="004862A9"/>
    <w:rsid w:val="00486CD7"/>
    <w:rsid w:val="00490398"/>
    <w:rsid w:val="00490813"/>
    <w:rsid w:val="00490E2A"/>
    <w:rsid w:val="0049276E"/>
    <w:rsid w:val="00492BC1"/>
    <w:rsid w:val="00493F5A"/>
    <w:rsid w:val="004940D1"/>
    <w:rsid w:val="0049469A"/>
    <w:rsid w:val="00494C2D"/>
    <w:rsid w:val="00495283"/>
    <w:rsid w:val="00495410"/>
    <w:rsid w:val="004964A5"/>
    <w:rsid w:val="004A0703"/>
    <w:rsid w:val="004A0F46"/>
    <w:rsid w:val="004A10EC"/>
    <w:rsid w:val="004A122B"/>
    <w:rsid w:val="004A2FEC"/>
    <w:rsid w:val="004A48AA"/>
    <w:rsid w:val="004A4F0F"/>
    <w:rsid w:val="004A5056"/>
    <w:rsid w:val="004A5614"/>
    <w:rsid w:val="004A5D19"/>
    <w:rsid w:val="004A5F6B"/>
    <w:rsid w:val="004A6C2C"/>
    <w:rsid w:val="004A6DA1"/>
    <w:rsid w:val="004B0A22"/>
    <w:rsid w:val="004B23B9"/>
    <w:rsid w:val="004B35B3"/>
    <w:rsid w:val="004B4758"/>
    <w:rsid w:val="004B51B8"/>
    <w:rsid w:val="004B5C7B"/>
    <w:rsid w:val="004B6262"/>
    <w:rsid w:val="004B7849"/>
    <w:rsid w:val="004C027B"/>
    <w:rsid w:val="004C206C"/>
    <w:rsid w:val="004C384A"/>
    <w:rsid w:val="004C3944"/>
    <w:rsid w:val="004C4E76"/>
    <w:rsid w:val="004C56B5"/>
    <w:rsid w:val="004C654E"/>
    <w:rsid w:val="004C76DD"/>
    <w:rsid w:val="004C7AE9"/>
    <w:rsid w:val="004C7C8D"/>
    <w:rsid w:val="004D0077"/>
    <w:rsid w:val="004D05D2"/>
    <w:rsid w:val="004D1647"/>
    <w:rsid w:val="004D3578"/>
    <w:rsid w:val="004D380D"/>
    <w:rsid w:val="004D3F76"/>
    <w:rsid w:val="004D4144"/>
    <w:rsid w:val="004D48B8"/>
    <w:rsid w:val="004D4F73"/>
    <w:rsid w:val="004D4FC9"/>
    <w:rsid w:val="004D71CA"/>
    <w:rsid w:val="004D7D80"/>
    <w:rsid w:val="004E0793"/>
    <w:rsid w:val="004E1034"/>
    <w:rsid w:val="004E1536"/>
    <w:rsid w:val="004E193D"/>
    <w:rsid w:val="004E213A"/>
    <w:rsid w:val="004E268E"/>
    <w:rsid w:val="004E2FA7"/>
    <w:rsid w:val="004E3504"/>
    <w:rsid w:val="004E4813"/>
    <w:rsid w:val="004E57BE"/>
    <w:rsid w:val="004E58B1"/>
    <w:rsid w:val="004E7A48"/>
    <w:rsid w:val="004F0A14"/>
    <w:rsid w:val="004F1843"/>
    <w:rsid w:val="004F1B20"/>
    <w:rsid w:val="004F2CEF"/>
    <w:rsid w:val="004F48E3"/>
    <w:rsid w:val="004F4CF7"/>
    <w:rsid w:val="004F536A"/>
    <w:rsid w:val="004F54FA"/>
    <w:rsid w:val="0050139A"/>
    <w:rsid w:val="00501F60"/>
    <w:rsid w:val="005020E7"/>
    <w:rsid w:val="00502ACC"/>
    <w:rsid w:val="00502B46"/>
    <w:rsid w:val="00502C9D"/>
    <w:rsid w:val="00503171"/>
    <w:rsid w:val="005104C3"/>
    <w:rsid w:val="0051206A"/>
    <w:rsid w:val="00512309"/>
    <w:rsid w:val="00512CFF"/>
    <w:rsid w:val="00513877"/>
    <w:rsid w:val="00514482"/>
    <w:rsid w:val="00515B14"/>
    <w:rsid w:val="00516500"/>
    <w:rsid w:val="005208E3"/>
    <w:rsid w:val="00520A53"/>
    <w:rsid w:val="005220BF"/>
    <w:rsid w:val="00522C51"/>
    <w:rsid w:val="00526054"/>
    <w:rsid w:val="00526E01"/>
    <w:rsid w:val="00527754"/>
    <w:rsid w:val="00530742"/>
    <w:rsid w:val="00530762"/>
    <w:rsid w:val="00531FF6"/>
    <w:rsid w:val="005323EE"/>
    <w:rsid w:val="00534DA0"/>
    <w:rsid w:val="005364B5"/>
    <w:rsid w:val="0053659D"/>
    <w:rsid w:val="00536E61"/>
    <w:rsid w:val="00537356"/>
    <w:rsid w:val="00537E63"/>
    <w:rsid w:val="0054003B"/>
    <w:rsid w:val="005411E7"/>
    <w:rsid w:val="0054123D"/>
    <w:rsid w:val="00541A5C"/>
    <w:rsid w:val="00543B30"/>
    <w:rsid w:val="00543E6C"/>
    <w:rsid w:val="00544ECE"/>
    <w:rsid w:val="00545BBC"/>
    <w:rsid w:val="0055229E"/>
    <w:rsid w:val="005524C9"/>
    <w:rsid w:val="00552573"/>
    <w:rsid w:val="005536AB"/>
    <w:rsid w:val="005544FE"/>
    <w:rsid w:val="00556228"/>
    <w:rsid w:val="00556793"/>
    <w:rsid w:val="0056029E"/>
    <w:rsid w:val="0056076E"/>
    <w:rsid w:val="00561C26"/>
    <w:rsid w:val="0056341C"/>
    <w:rsid w:val="00563F3F"/>
    <w:rsid w:val="00565087"/>
    <w:rsid w:val="0056573F"/>
    <w:rsid w:val="00566445"/>
    <w:rsid w:val="0056677C"/>
    <w:rsid w:val="00566D2C"/>
    <w:rsid w:val="005724B9"/>
    <w:rsid w:val="00572503"/>
    <w:rsid w:val="005731F4"/>
    <w:rsid w:val="00573616"/>
    <w:rsid w:val="005759A2"/>
    <w:rsid w:val="005762C7"/>
    <w:rsid w:val="00576820"/>
    <w:rsid w:val="00577F8E"/>
    <w:rsid w:val="0058519C"/>
    <w:rsid w:val="0058588B"/>
    <w:rsid w:val="00586F17"/>
    <w:rsid w:val="005905A1"/>
    <w:rsid w:val="0059146F"/>
    <w:rsid w:val="00591568"/>
    <w:rsid w:val="005918CF"/>
    <w:rsid w:val="005925C2"/>
    <w:rsid w:val="00592B81"/>
    <w:rsid w:val="00593957"/>
    <w:rsid w:val="00596A09"/>
    <w:rsid w:val="00597653"/>
    <w:rsid w:val="005A0389"/>
    <w:rsid w:val="005A03F6"/>
    <w:rsid w:val="005A1D77"/>
    <w:rsid w:val="005A3223"/>
    <w:rsid w:val="005A3AF8"/>
    <w:rsid w:val="005A612F"/>
    <w:rsid w:val="005A669D"/>
    <w:rsid w:val="005A7649"/>
    <w:rsid w:val="005B01C6"/>
    <w:rsid w:val="005B021A"/>
    <w:rsid w:val="005B0915"/>
    <w:rsid w:val="005B1232"/>
    <w:rsid w:val="005B1D3C"/>
    <w:rsid w:val="005B3330"/>
    <w:rsid w:val="005B34D8"/>
    <w:rsid w:val="005B3879"/>
    <w:rsid w:val="005B3E75"/>
    <w:rsid w:val="005B4DEE"/>
    <w:rsid w:val="005B5970"/>
    <w:rsid w:val="005B5A07"/>
    <w:rsid w:val="005B6646"/>
    <w:rsid w:val="005B73F4"/>
    <w:rsid w:val="005C0423"/>
    <w:rsid w:val="005C08F2"/>
    <w:rsid w:val="005C1021"/>
    <w:rsid w:val="005C16A8"/>
    <w:rsid w:val="005C1B66"/>
    <w:rsid w:val="005C3691"/>
    <w:rsid w:val="005C49F8"/>
    <w:rsid w:val="005C55B4"/>
    <w:rsid w:val="005C6853"/>
    <w:rsid w:val="005C7B8F"/>
    <w:rsid w:val="005C7FA2"/>
    <w:rsid w:val="005D11E4"/>
    <w:rsid w:val="005D23BB"/>
    <w:rsid w:val="005D281F"/>
    <w:rsid w:val="005D53D9"/>
    <w:rsid w:val="005D7512"/>
    <w:rsid w:val="005E1062"/>
    <w:rsid w:val="005E1C7A"/>
    <w:rsid w:val="005E333C"/>
    <w:rsid w:val="005E3667"/>
    <w:rsid w:val="005E3D0F"/>
    <w:rsid w:val="005E431B"/>
    <w:rsid w:val="005E55EE"/>
    <w:rsid w:val="005E59C1"/>
    <w:rsid w:val="005E59F4"/>
    <w:rsid w:val="005E688A"/>
    <w:rsid w:val="005E7E18"/>
    <w:rsid w:val="005F10C3"/>
    <w:rsid w:val="005F11C7"/>
    <w:rsid w:val="005F11E0"/>
    <w:rsid w:val="005F191C"/>
    <w:rsid w:val="005F19B2"/>
    <w:rsid w:val="005F2419"/>
    <w:rsid w:val="005F26B5"/>
    <w:rsid w:val="005F4D98"/>
    <w:rsid w:val="005F6406"/>
    <w:rsid w:val="005F6C07"/>
    <w:rsid w:val="005F71B4"/>
    <w:rsid w:val="006006D0"/>
    <w:rsid w:val="0060087E"/>
    <w:rsid w:val="006025D4"/>
    <w:rsid w:val="006025F6"/>
    <w:rsid w:val="00603165"/>
    <w:rsid w:val="00603829"/>
    <w:rsid w:val="00603FE3"/>
    <w:rsid w:val="006042FA"/>
    <w:rsid w:val="00604791"/>
    <w:rsid w:val="006051CC"/>
    <w:rsid w:val="00605259"/>
    <w:rsid w:val="0060533E"/>
    <w:rsid w:val="00607F1B"/>
    <w:rsid w:val="00611566"/>
    <w:rsid w:val="00611868"/>
    <w:rsid w:val="00612A68"/>
    <w:rsid w:val="006136F9"/>
    <w:rsid w:val="0061490D"/>
    <w:rsid w:val="006149C0"/>
    <w:rsid w:val="00615482"/>
    <w:rsid w:val="006157C5"/>
    <w:rsid w:val="006158C6"/>
    <w:rsid w:val="00615939"/>
    <w:rsid w:val="00615CC3"/>
    <w:rsid w:val="006165CD"/>
    <w:rsid w:val="00617799"/>
    <w:rsid w:val="00617C52"/>
    <w:rsid w:val="0062034B"/>
    <w:rsid w:val="006204D3"/>
    <w:rsid w:val="00620E29"/>
    <w:rsid w:val="006211A0"/>
    <w:rsid w:val="00622E1A"/>
    <w:rsid w:val="00623ACC"/>
    <w:rsid w:val="00624148"/>
    <w:rsid w:val="00624D4A"/>
    <w:rsid w:val="00631B89"/>
    <w:rsid w:val="00631BA9"/>
    <w:rsid w:val="0063226E"/>
    <w:rsid w:val="00633CA1"/>
    <w:rsid w:val="00634CE1"/>
    <w:rsid w:val="00636178"/>
    <w:rsid w:val="00636E70"/>
    <w:rsid w:val="00636EE6"/>
    <w:rsid w:val="00640D03"/>
    <w:rsid w:val="006414E1"/>
    <w:rsid w:val="00642ACA"/>
    <w:rsid w:val="00643D88"/>
    <w:rsid w:val="00644021"/>
    <w:rsid w:val="0064416C"/>
    <w:rsid w:val="006450BB"/>
    <w:rsid w:val="0064548A"/>
    <w:rsid w:val="0064557C"/>
    <w:rsid w:val="0064589C"/>
    <w:rsid w:val="00646C53"/>
    <w:rsid w:val="00646D77"/>
    <w:rsid w:val="006508FC"/>
    <w:rsid w:val="00650B3A"/>
    <w:rsid w:val="00651AAB"/>
    <w:rsid w:val="00651F94"/>
    <w:rsid w:val="006530AA"/>
    <w:rsid w:val="00656467"/>
    <w:rsid w:val="006567F6"/>
    <w:rsid w:val="00656D67"/>
    <w:rsid w:val="006615B7"/>
    <w:rsid w:val="006619CF"/>
    <w:rsid w:val="00663E0B"/>
    <w:rsid w:val="006649D0"/>
    <w:rsid w:val="0066582D"/>
    <w:rsid w:val="00666915"/>
    <w:rsid w:val="00666A58"/>
    <w:rsid w:val="00666C06"/>
    <w:rsid w:val="00666CD2"/>
    <w:rsid w:val="00666F47"/>
    <w:rsid w:val="00667057"/>
    <w:rsid w:val="00667442"/>
    <w:rsid w:val="0066748D"/>
    <w:rsid w:val="00667667"/>
    <w:rsid w:val="00670F0D"/>
    <w:rsid w:val="00671901"/>
    <w:rsid w:val="00672C5E"/>
    <w:rsid w:val="0067441F"/>
    <w:rsid w:val="00674856"/>
    <w:rsid w:val="00677F3E"/>
    <w:rsid w:val="006808D7"/>
    <w:rsid w:val="00682281"/>
    <w:rsid w:val="006823D0"/>
    <w:rsid w:val="00683C17"/>
    <w:rsid w:val="00684AB0"/>
    <w:rsid w:val="00684BD3"/>
    <w:rsid w:val="00685083"/>
    <w:rsid w:val="006859FC"/>
    <w:rsid w:val="006863A7"/>
    <w:rsid w:val="00690975"/>
    <w:rsid w:val="00690FBE"/>
    <w:rsid w:val="0069274F"/>
    <w:rsid w:val="00693925"/>
    <w:rsid w:val="00695228"/>
    <w:rsid w:val="00695DF2"/>
    <w:rsid w:val="00696425"/>
    <w:rsid w:val="0069659A"/>
    <w:rsid w:val="0069699D"/>
    <w:rsid w:val="00696D6B"/>
    <w:rsid w:val="00697279"/>
    <w:rsid w:val="006978CD"/>
    <w:rsid w:val="006A04E4"/>
    <w:rsid w:val="006A0EEC"/>
    <w:rsid w:val="006A119F"/>
    <w:rsid w:val="006A1637"/>
    <w:rsid w:val="006A1795"/>
    <w:rsid w:val="006A18B1"/>
    <w:rsid w:val="006A213B"/>
    <w:rsid w:val="006A3052"/>
    <w:rsid w:val="006A364A"/>
    <w:rsid w:val="006A43F7"/>
    <w:rsid w:val="006A4CFC"/>
    <w:rsid w:val="006A50DB"/>
    <w:rsid w:val="006A54D5"/>
    <w:rsid w:val="006A5590"/>
    <w:rsid w:val="006A567C"/>
    <w:rsid w:val="006A7158"/>
    <w:rsid w:val="006B09B1"/>
    <w:rsid w:val="006B0B2C"/>
    <w:rsid w:val="006B1C8C"/>
    <w:rsid w:val="006B2381"/>
    <w:rsid w:val="006B3C66"/>
    <w:rsid w:val="006B4328"/>
    <w:rsid w:val="006B4826"/>
    <w:rsid w:val="006B557A"/>
    <w:rsid w:val="006B6067"/>
    <w:rsid w:val="006B6EA2"/>
    <w:rsid w:val="006B73E1"/>
    <w:rsid w:val="006B7677"/>
    <w:rsid w:val="006B7AAA"/>
    <w:rsid w:val="006C1385"/>
    <w:rsid w:val="006C1888"/>
    <w:rsid w:val="006C3245"/>
    <w:rsid w:val="006C45FB"/>
    <w:rsid w:val="006C603D"/>
    <w:rsid w:val="006C698B"/>
    <w:rsid w:val="006C6AD9"/>
    <w:rsid w:val="006C7A66"/>
    <w:rsid w:val="006C7E8B"/>
    <w:rsid w:val="006D04FE"/>
    <w:rsid w:val="006D183B"/>
    <w:rsid w:val="006D1B5F"/>
    <w:rsid w:val="006D1E24"/>
    <w:rsid w:val="006D1F52"/>
    <w:rsid w:val="006D231C"/>
    <w:rsid w:val="006D2721"/>
    <w:rsid w:val="006D333D"/>
    <w:rsid w:val="006D3A4B"/>
    <w:rsid w:val="006D462A"/>
    <w:rsid w:val="006D5859"/>
    <w:rsid w:val="006D6322"/>
    <w:rsid w:val="006D679C"/>
    <w:rsid w:val="006D736E"/>
    <w:rsid w:val="006D79E5"/>
    <w:rsid w:val="006D7D23"/>
    <w:rsid w:val="006E0904"/>
    <w:rsid w:val="006E2717"/>
    <w:rsid w:val="006E3314"/>
    <w:rsid w:val="006E4D6B"/>
    <w:rsid w:val="006E71D5"/>
    <w:rsid w:val="006E73C6"/>
    <w:rsid w:val="006E7F54"/>
    <w:rsid w:val="006F0133"/>
    <w:rsid w:val="006F13B1"/>
    <w:rsid w:val="006F1DA5"/>
    <w:rsid w:val="006F1FA3"/>
    <w:rsid w:val="006F212F"/>
    <w:rsid w:val="006F2E59"/>
    <w:rsid w:val="006F35FD"/>
    <w:rsid w:val="006F4FC0"/>
    <w:rsid w:val="006F5661"/>
    <w:rsid w:val="006F67CD"/>
    <w:rsid w:val="006F77EC"/>
    <w:rsid w:val="007004C2"/>
    <w:rsid w:val="00700653"/>
    <w:rsid w:val="007008BA"/>
    <w:rsid w:val="00701180"/>
    <w:rsid w:val="00701BAD"/>
    <w:rsid w:val="00702E45"/>
    <w:rsid w:val="00704F55"/>
    <w:rsid w:val="007054C9"/>
    <w:rsid w:val="00706FD0"/>
    <w:rsid w:val="007073E9"/>
    <w:rsid w:val="00711661"/>
    <w:rsid w:val="0071199A"/>
    <w:rsid w:val="00711CED"/>
    <w:rsid w:val="00713AD7"/>
    <w:rsid w:val="007149BF"/>
    <w:rsid w:val="007151AC"/>
    <w:rsid w:val="00716BB3"/>
    <w:rsid w:val="00716C55"/>
    <w:rsid w:val="00716D58"/>
    <w:rsid w:val="0071707D"/>
    <w:rsid w:val="00721362"/>
    <w:rsid w:val="00721997"/>
    <w:rsid w:val="00721A0D"/>
    <w:rsid w:val="00721A75"/>
    <w:rsid w:val="00724310"/>
    <w:rsid w:val="00725A9B"/>
    <w:rsid w:val="00726D2B"/>
    <w:rsid w:val="00727131"/>
    <w:rsid w:val="00730D75"/>
    <w:rsid w:val="007325B2"/>
    <w:rsid w:val="007325F8"/>
    <w:rsid w:val="007331A2"/>
    <w:rsid w:val="00733E14"/>
    <w:rsid w:val="00733F2B"/>
    <w:rsid w:val="00734A5B"/>
    <w:rsid w:val="00737456"/>
    <w:rsid w:val="0074002A"/>
    <w:rsid w:val="00741663"/>
    <w:rsid w:val="00741F5B"/>
    <w:rsid w:val="00742247"/>
    <w:rsid w:val="00742A25"/>
    <w:rsid w:val="00742ED7"/>
    <w:rsid w:val="00743560"/>
    <w:rsid w:val="00744742"/>
    <w:rsid w:val="00744E76"/>
    <w:rsid w:val="007452AF"/>
    <w:rsid w:val="00745911"/>
    <w:rsid w:val="00747986"/>
    <w:rsid w:val="007501B4"/>
    <w:rsid w:val="007506EC"/>
    <w:rsid w:val="00750722"/>
    <w:rsid w:val="0075088D"/>
    <w:rsid w:val="007511B4"/>
    <w:rsid w:val="00751B1A"/>
    <w:rsid w:val="00751D46"/>
    <w:rsid w:val="00752479"/>
    <w:rsid w:val="00752897"/>
    <w:rsid w:val="00753C56"/>
    <w:rsid w:val="0075487E"/>
    <w:rsid w:val="00754C1D"/>
    <w:rsid w:val="00755817"/>
    <w:rsid w:val="0075589F"/>
    <w:rsid w:val="00756278"/>
    <w:rsid w:val="00757866"/>
    <w:rsid w:val="00757D40"/>
    <w:rsid w:val="00760831"/>
    <w:rsid w:val="00761841"/>
    <w:rsid w:val="00761EE1"/>
    <w:rsid w:val="00761EE9"/>
    <w:rsid w:val="0076250D"/>
    <w:rsid w:val="00762711"/>
    <w:rsid w:val="00763BC2"/>
    <w:rsid w:val="00764EF6"/>
    <w:rsid w:val="00765BA8"/>
    <w:rsid w:val="00765D9E"/>
    <w:rsid w:val="00765E5A"/>
    <w:rsid w:val="007709F9"/>
    <w:rsid w:val="007722C2"/>
    <w:rsid w:val="00772865"/>
    <w:rsid w:val="00772E0E"/>
    <w:rsid w:val="00775518"/>
    <w:rsid w:val="00776187"/>
    <w:rsid w:val="00777243"/>
    <w:rsid w:val="00780E51"/>
    <w:rsid w:val="00781AC3"/>
    <w:rsid w:val="00781F0F"/>
    <w:rsid w:val="00782E60"/>
    <w:rsid w:val="00783DFD"/>
    <w:rsid w:val="0078455C"/>
    <w:rsid w:val="0078503F"/>
    <w:rsid w:val="00785AD8"/>
    <w:rsid w:val="00787213"/>
    <w:rsid w:val="0078727C"/>
    <w:rsid w:val="007877A5"/>
    <w:rsid w:val="00787A44"/>
    <w:rsid w:val="007900FB"/>
    <w:rsid w:val="007905DB"/>
    <w:rsid w:val="00790C87"/>
    <w:rsid w:val="007934C8"/>
    <w:rsid w:val="00795119"/>
    <w:rsid w:val="0079584B"/>
    <w:rsid w:val="00796008"/>
    <w:rsid w:val="0079775E"/>
    <w:rsid w:val="007A1C1A"/>
    <w:rsid w:val="007A4959"/>
    <w:rsid w:val="007A4B1A"/>
    <w:rsid w:val="007A5B33"/>
    <w:rsid w:val="007A5E55"/>
    <w:rsid w:val="007A6B98"/>
    <w:rsid w:val="007A6F2F"/>
    <w:rsid w:val="007A724B"/>
    <w:rsid w:val="007A76D7"/>
    <w:rsid w:val="007B02A5"/>
    <w:rsid w:val="007B07DE"/>
    <w:rsid w:val="007B19D4"/>
    <w:rsid w:val="007B1E8A"/>
    <w:rsid w:val="007B23A4"/>
    <w:rsid w:val="007B249B"/>
    <w:rsid w:val="007B2566"/>
    <w:rsid w:val="007B2C0A"/>
    <w:rsid w:val="007B393A"/>
    <w:rsid w:val="007B41FD"/>
    <w:rsid w:val="007B44AB"/>
    <w:rsid w:val="007B495F"/>
    <w:rsid w:val="007B61E7"/>
    <w:rsid w:val="007B6814"/>
    <w:rsid w:val="007B68B7"/>
    <w:rsid w:val="007B6B71"/>
    <w:rsid w:val="007B6EC0"/>
    <w:rsid w:val="007B7782"/>
    <w:rsid w:val="007C095F"/>
    <w:rsid w:val="007C0BC1"/>
    <w:rsid w:val="007C268F"/>
    <w:rsid w:val="007C299C"/>
    <w:rsid w:val="007C3574"/>
    <w:rsid w:val="007C449D"/>
    <w:rsid w:val="007C5546"/>
    <w:rsid w:val="007C5EAA"/>
    <w:rsid w:val="007C658E"/>
    <w:rsid w:val="007D0C60"/>
    <w:rsid w:val="007D0EF9"/>
    <w:rsid w:val="007D392F"/>
    <w:rsid w:val="007D3EF3"/>
    <w:rsid w:val="007D4384"/>
    <w:rsid w:val="007D5207"/>
    <w:rsid w:val="007D56F6"/>
    <w:rsid w:val="007D6785"/>
    <w:rsid w:val="007D6F9E"/>
    <w:rsid w:val="007D7863"/>
    <w:rsid w:val="007D7C4D"/>
    <w:rsid w:val="007E0300"/>
    <w:rsid w:val="007E08DE"/>
    <w:rsid w:val="007E32DD"/>
    <w:rsid w:val="007E420D"/>
    <w:rsid w:val="007E455A"/>
    <w:rsid w:val="007E46C6"/>
    <w:rsid w:val="007E48C8"/>
    <w:rsid w:val="007E4C51"/>
    <w:rsid w:val="007E50D5"/>
    <w:rsid w:val="007E5A87"/>
    <w:rsid w:val="007E6B33"/>
    <w:rsid w:val="007F00DF"/>
    <w:rsid w:val="007F0F51"/>
    <w:rsid w:val="007F2205"/>
    <w:rsid w:val="007F4063"/>
    <w:rsid w:val="007F47B2"/>
    <w:rsid w:val="007F5FD3"/>
    <w:rsid w:val="007F6A91"/>
    <w:rsid w:val="007F6D22"/>
    <w:rsid w:val="007F7263"/>
    <w:rsid w:val="007F72DF"/>
    <w:rsid w:val="007F7D2E"/>
    <w:rsid w:val="007F7E05"/>
    <w:rsid w:val="008008D9"/>
    <w:rsid w:val="008019F1"/>
    <w:rsid w:val="00801CA7"/>
    <w:rsid w:val="008028A4"/>
    <w:rsid w:val="00803FFD"/>
    <w:rsid w:val="008053A2"/>
    <w:rsid w:val="008069E1"/>
    <w:rsid w:val="00810780"/>
    <w:rsid w:val="00811DEA"/>
    <w:rsid w:val="008120E4"/>
    <w:rsid w:val="00813CDA"/>
    <w:rsid w:val="008144D5"/>
    <w:rsid w:val="0081452D"/>
    <w:rsid w:val="0081460A"/>
    <w:rsid w:val="00814808"/>
    <w:rsid w:val="008150BA"/>
    <w:rsid w:val="008150C2"/>
    <w:rsid w:val="008176B8"/>
    <w:rsid w:val="00820849"/>
    <w:rsid w:val="008218C2"/>
    <w:rsid w:val="00823410"/>
    <w:rsid w:val="00823AC6"/>
    <w:rsid w:val="0082414C"/>
    <w:rsid w:val="00824626"/>
    <w:rsid w:val="0082483F"/>
    <w:rsid w:val="00830656"/>
    <w:rsid w:val="00832304"/>
    <w:rsid w:val="008323D6"/>
    <w:rsid w:val="008340CB"/>
    <w:rsid w:val="00834649"/>
    <w:rsid w:val="00835F14"/>
    <w:rsid w:val="00836413"/>
    <w:rsid w:val="008376A5"/>
    <w:rsid w:val="008401E2"/>
    <w:rsid w:val="0084222D"/>
    <w:rsid w:val="0084303F"/>
    <w:rsid w:val="008430A2"/>
    <w:rsid w:val="00843722"/>
    <w:rsid w:val="0084380F"/>
    <w:rsid w:val="00843A05"/>
    <w:rsid w:val="00845057"/>
    <w:rsid w:val="00845474"/>
    <w:rsid w:val="00845F98"/>
    <w:rsid w:val="00846B58"/>
    <w:rsid w:val="00846E07"/>
    <w:rsid w:val="00846E32"/>
    <w:rsid w:val="00852A5B"/>
    <w:rsid w:val="00852D39"/>
    <w:rsid w:val="0085379D"/>
    <w:rsid w:val="00854C37"/>
    <w:rsid w:val="0085578C"/>
    <w:rsid w:val="008559D6"/>
    <w:rsid w:val="00855F2F"/>
    <w:rsid w:val="0085724C"/>
    <w:rsid w:val="008572DC"/>
    <w:rsid w:val="00860E01"/>
    <w:rsid w:val="00861B94"/>
    <w:rsid w:val="00862A45"/>
    <w:rsid w:val="00866280"/>
    <w:rsid w:val="00866556"/>
    <w:rsid w:val="00866E76"/>
    <w:rsid w:val="00866F16"/>
    <w:rsid w:val="0086799C"/>
    <w:rsid w:val="00867FFD"/>
    <w:rsid w:val="00870AEC"/>
    <w:rsid w:val="00872097"/>
    <w:rsid w:val="0087437D"/>
    <w:rsid w:val="00875BEE"/>
    <w:rsid w:val="008768CA"/>
    <w:rsid w:val="00876971"/>
    <w:rsid w:val="00877813"/>
    <w:rsid w:val="00880559"/>
    <w:rsid w:val="0088128B"/>
    <w:rsid w:val="00883F19"/>
    <w:rsid w:val="0088405C"/>
    <w:rsid w:val="00886D6C"/>
    <w:rsid w:val="00891B05"/>
    <w:rsid w:val="00893167"/>
    <w:rsid w:val="008943AC"/>
    <w:rsid w:val="00894B03"/>
    <w:rsid w:val="0089523E"/>
    <w:rsid w:val="00895309"/>
    <w:rsid w:val="00895D56"/>
    <w:rsid w:val="00896279"/>
    <w:rsid w:val="0089631F"/>
    <w:rsid w:val="00896515"/>
    <w:rsid w:val="00896BFC"/>
    <w:rsid w:val="00896CBD"/>
    <w:rsid w:val="00897C57"/>
    <w:rsid w:val="008A0473"/>
    <w:rsid w:val="008A08E4"/>
    <w:rsid w:val="008A31C5"/>
    <w:rsid w:val="008A3464"/>
    <w:rsid w:val="008A3B1C"/>
    <w:rsid w:val="008A40B0"/>
    <w:rsid w:val="008A4601"/>
    <w:rsid w:val="008A4C78"/>
    <w:rsid w:val="008A4E7B"/>
    <w:rsid w:val="008B1BA1"/>
    <w:rsid w:val="008B2C1E"/>
    <w:rsid w:val="008B56D0"/>
    <w:rsid w:val="008B7079"/>
    <w:rsid w:val="008B70F9"/>
    <w:rsid w:val="008C000B"/>
    <w:rsid w:val="008C1943"/>
    <w:rsid w:val="008C1FEA"/>
    <w:rsid w:val="008C295D"/>
    <w:rsid w:val="008C2DF3"/>
    <w:rsid w:val="008C2F7B"/>
    <w:rsid w:val="008C4542"/>
    <w:rsid w:val="008C4B29"/>
    <w:rsid w:val="008C4CE8"/>
    <w:rsid w:val="008C5127"/>
    <w:rsid w:val="008C54DE"/>
    <w:rsid w:val="008C5E21"/>
    <w:rsid w:val="008C60BD"/>
    <w:rsid w:val="008C6C33"/>
    <w:rsid w:val="008C757F"/>
    <w:rsid w:val="008D2168"/>
    <w:rsid w:val="008D3190"/>
    <w:rsid w:val="008D3950"/>
    <w:rsid w:val="008D575F"/>
    <w:rsid w:val="008D76CF"/>
    <w:rsid w:val="008E0313"/>
    <w:rsid w:val="008E0D52"/>
    <w:rsid w:val="008E325B"/>
    <w:rsid w:val="008E32C1"/>
    <w:rsid w:val="008E3D79"/>
    <w:rsid w:val="008E4253"/>
    <w:rsid w:val="008E458D"/>
    <w:rsid w:val="008E4FD5"/>
    <w:rsid w:val="008E5ADC"/>
    <w:rsid w:val="008E5F5E"/>
    <w:rsid w:val="008E7D9C"/>
    <w:rsid w:val="008F13A1"/>
    <w:rsid w:val="008F1C1B"/>
    <w:rsid w:val="008F1FDD"/>
    <w:rsid w:val="008F4DB9"/>
    <w:rsid w:val="008F4F1D"/>
    <w:rsid w:val="008F5E56"/>
    <w:rsid w:val="008F616F"/>
    <w:rsid w:val="008F7C0D"/>
    <w:rsid w:val="009004C7"/>
    <w:rsid w:val="00900782"/>
    <w:rsid w:val="009008E1"/>
    <w:rsid w:val="0090271F"/>
    <w:rsid w:val="00902F2C"/>
    <w:rsid w:val="009031B1"/>
    <w:rsid w:val="00903396"/>
    <w:rsid w:val="00904A71"/>
    <w:rsid w:val="00905407"/>
    <w:rsid w:val="00910049"/>
    <w:rsid w:val="0091160B"/>
    <w:rsid w:val="009130D7"/>
    <w:rsid w:val="009145D4"/>
    <w:rsid w:val="00915010"/>
    <w:rsid w:val="0091580D"/>
    <w:rsid w:val="009163CE"/>
    <w:rsid w:val="0091774A"/>
    <w:rsid w:val="00917BBA"/>
    <w:rsid w:val="00917D83"/>
    <w:rsid w:val="0092054B"/>
    <w:rsid w:val="00921518"/>
    <w:rsid w:val="009225B0"/>
    <w:rsid w:val="00922E52"/>
    <w:rsid w:val="00923DB8"/>
    <w:rsid w:val="009265A4"/>
    <w:rsid w:val="00927399"/>
    <w:rsid w:val="00927575"/>
    <w:rsid w:val="00931802"/>
    <w:rsid w:val="00932497"/>
    <w:rsid w:val="00932E8F"/>
    <w:rsid w:val="00933C98"/>
    <w:rsid w:val="0093545F"/>
    <w:rsid w:val="00935903"/>
    <w:rsid w:val="00937449"/>
    <w:rsid w:val="00937896"/>
    <w:rsid w:val="00937F2B"/>
    <w:rsid w:val="00940443"/>
    <w:rsid w:val="009408C4"/>
    <w:rsid w:val="00941597"/>
    <w:rsid w:val="009420E9"/>
    <w:rsid w:val="00942EC2"/>
    <w:rsid w:val="00943695"/>
    <w:rsid w:val="009439C1"/>
    <w:rsid w:val="00944A19"/>
    <w:rsid w:val="0094509B"/>
    <w:rsid w:val="00945650"/>
    <w:rsid w:val="009458C7"/>
    <w:rsid w:val="00945930"/>
    <w:rsid w:val="00945F40"/>
    <w:rsid w:val="009461CA"/>
    <w:rsid w:val="009462CA"/>
    <w:rsid w:val="009471FD"/>
    <w:rsid w:val="00947224"/>
    <w:rsid w:val="0095007B"/>
    <w:rsid w:val="009511DB"/>
    <w:rsid w:val="00951590"/>
    <w:rsid w:val="0095208E"/>
    <w:rsid w:val="00952B52"/>
    <w:rsid w:val="00953F9F"/>
    <w:rsid w:val="009544C0"/>
    <w:rsid w:val="00954F6C"/>
    <w:rsid w:val="00955F99"/>
    <w:rsid w:val="009561FE"/>
    <w:rsid w:val="0095648B"/>
    <w:rsid w:val="0095655E"/>
    <w:rsid w:val="00956FCE"/>
    <w:rsid w:val="00957C81"/>
    <w:rsid w:val="0096171E"/>
    <w:rsid w:val="00961B32"/>
    <w:rsid w:val="00962FBF"/>
    <w:rsid w:val="00963D86"/>
    <w:rsid w:val="0096490A"/>
    <w:rsid w:val="009708AA"/>
    <w:rsid w:val="00970B79"/>
    <w:rsid w:val="0097184A"/>
    <w:rsid w:val="00971C47"/>
    <w:rsid w:val="00972C97"/>
    <w:rsid w:val="00972E18"/>
    <w:rsid w:val="009735D6"/>
    <w:rsid w:val="00973843"/>
    <w:rsid w:val="00974BB0"/>
    <w:rsid w:val="0097654B"/>
    <w:rsid w:val="00977306"/>
    <w:rsid w:val="0097754E"/>
    <w:rsid w:val="009816B5"/>
    <w:rsid w:val="00982098"/>
    <w:rsid w:val="00983E12"/>
    <w:rsid w:val="00984571"/>
    <w:rsid w:val="00985308"/>
    <w:rsid w:val="00985D2F"/>
    <w:rsid w:val="009876A5"/>
    <w:rsid w:val="009911E3"/>
    <w:rsid w:val="0099180C"/>
    <w:rsid w:val="00992711"/>
    <w:rsid w:val="00993BBC"/>
    <w:rsid w:val="009945EC"/>
    <w:rsid w:val="0099493E"/>
    <w:rsid w:val="00994C99"/>
    <w:rsid w:val="00995169"/>
    <w:rsid w:val="009954B1"/>
    <w:rsid w:val="00995619"/>
    <w:rsid w:val="00997D92"/>
    <w:rsid w:val="009A0661"/>
    <w:rsid w:val="009A3390"/>
    <w:rsid w:val="009A3AC7"/>
    <w:rsid w:val="009A419C"/>
    <w:rsid w:val="009A482D"/>
    <w:rsid w:val="009A4FD4"/>
    <w:rsid w:val="009A4FD9"/>
    <w:rsid w:val="009A5190"/>
    <w:rsid w:val="009A60D1"/>
    <w:rsid w:val="009A7BD6"/>
    <w:rsid w:val="009B04AC"/>
    <w:rsid w:val="009B241D"/>
    <w:rsid w:val="009B28F7"/>
    <w:rsid w:val="009B4167"/>
    <w:rsid w:val="009B4424"/>
    <w:rsid w:val="009B467B"/>
    <w:rsid w:val="009B568C"/>
    <w:rsid w:val="009B6C3A"/>
    <w:rsid w:val="009B7671"/>
    <w:rsid w:val="009C014E"/>
    <w:rsid w:val="009C01DA"/>
    <w:rsid w:val="009C2009"/>
    <w:rsid w:val="009C2786"/>
    <w:rsid w:val="009C2AB8"/>
    <w:rsid w:val="009C303A"/>
    <w:rsid w:val="009C3AC0"/>
    <w:rsid w:val="009C4014"/>
    <w:rsid w:val="009C55D0"/>
    <w:rsid w:val="009C55E8"/>
    <w:rsid w:val="009C5D10"/>
    <w:rsid w:val="009C67DB"/>
    <w:rsid w:val="009C7BDE"/>
    <w:rsid w:val="009C7D0C"/>
    <w:rsid w:val="009C7DAE"/>
    <w:rsid w:val="009D04C8"/>
    <w:rsid w:val="009D0F3E"/>
    <w:rsid w:val="009D0FF6"/>
    <w:rsid w:val="009D1459"/>
    <w:rsid w:val="009D2D87"/>
    <w:rsid w:val="009D30B7"/>
    <w:rsid w:val="009D3C4B"/>
    <w:rsid w:val="009D3DEF"/>
    <w:rsid w:val="009D5E6D"/>
    <w:rsid w:val="009D73C0"/>
    <w:rsid w:val="009E0908"/>
    <w:rsid w:val="009E204C"/>
    <w:rsid w:val="009E24D9"/>
    <w:rsid w:val="009E319A"/>
    <w:rsid w:val="009E3E1E"/>
    <w:rsid w:val="009E42B4"/>
    <w:rsid w:val="009E4365"/>
    <w:rsid w:val="009E48B1"/>
    <w:rsid w:val="009E7DC2"/>
    <w:rsid w:val="009F056C"/>
    <w:rsid w:val="009F17BF"/>
    <w:rsid w:val="009F1EF4"/>
    <w:rsid w:val="009F2B9C"/>
    <w:rsid w:val="009F4335"/>
    <w:rsid w:val="009F43A5"/>
    <w:rsid w:val="009F45B6"/>
    <w:rsid w:val="009F482E"/>
    <w:rsid w:val="009F790B"/>
    <w:rsid w:val="009F7914"/>
    <w:rsid w:val="009F7FCD"/>
    <w:rsid w:val="00A00DC2"/>
    <w:rsid w:val="00A01417"/>
    <w:rsid w:val="00A01921"/>
    <w:rsid w:val="00A0233E"/>
    <w:rsid w:val="00A04CE7"/>
    <w:rsid w:val="00A05371"/>
    <w:rsid w:val="00A0557F"/>
    <w:rsid w:val="00A05BA9"/>
    <w:rsid w:val="00A05D49"/>
    <w:rsid w:val="00A05DB2"/>
    <w:rsid w:val="00A0682C"/>
    <w:rsid w:val="00A068BE"/>
    <w:rsid w:val="00A078CD"/>
    <w:rsid w:val="00A10CA5"/>
    <w:rsid w:val="00A10F02"/>
    <w:rsid w:val="00A113D9"/>
    <w:rsid w:val="00A115B3"/>
    <w:rsid w:val="00A132A6"/>
    <w:rsid w:val="00A136A5"/>
    <w:rsid w:val="00A14914"/>
    <w:rsid w:val="00A14AB6"/>
    <w:rsid w:val="00A15228"/>
    <w:rsid w:val="00A15B46"/>
    <w:rsid w:val="00A161EE"/>
    <w:rsid w:val="00A169DC"/>
    <w:rsid w:val="00A16E2E"/>
    <w:rsid w:val="00A2233C"/>
    <w:rsid w:val="00A23159"/>
    <w:rsid w:val="00A23987"/>
    <w:rsid w:val="00A23E8A"/>
    <w:rsid w:val="00A2408B"/>
    <w:rsid w:val="00A24546"/>
    <w:rsid w:val="00A245F3"/>
    <w:rsid w:val="00A25C48"/>
    <w:rsid w:val="00A26056"/>
    <w:rsid w:val="00A26B6E"/>
    <w:rsid w:val="00A26C86"/>
    <w:rsid w:val="00A27105"/>
    <w:rsid w:val="00A30EE8"/>
    <w:rsid w:val="00A31433"/>
    <w:rsid w:val="00A319AA"/>
    <w:rsid w:val="00A32BB7"/>
    <w:rsid w:val="00A33330"/>
    <w:rsid w:val="00A34756"/>
    <w:rsid w:val="00A35414"/>
    <w:rsid w:val="00A35BF0"/>
    <w:rsid w:val="00A35C09"/>
    <w:rsid w:val="00A36132"/>
    <w:rsid w:val="00A4182A"/>
    <w:rsid w:val="00A43886"/>
    <w:rsid w:val="00A438BB"/>
    <w:rsid w:val="00A43B3A"/>
    <w:rsid w:val="00A44166"/>
    <w:rsid w:val="00A455AE"/>
    <w:rsid w:val="00A4702F"/>
    <w:rsid w:val="00A474FC"/>
    <w:rsid w:val="00A50C04"/>
    <w:rsid w:val="00A5267D"/>
    <w:rsid w:val="00A53724"/>
    <w:rsid w:val="00A5401A"/>
    <w:rsid w:val="00A55E74"/>
    <w:rsid w:val="00A563BF"/>
    <w:rsid w:val="00A56D33"/>
    <w:rsid w:val="00A5718E"/>
    <w:rsid w:val="00A57826"/>
    <w:rsid w:val="00A57A03"/>
    <w:rsid w:val="00A57B79"/>
    <w:rsid w:val="00A61B7E"/>
    <w:rsid w:val="00A63CB9"/>
    <w:rsid w:val="00A647F3"/>
    <w:rsid w:val="00A6558F"/>
    <w:rsid w:val="00A657F4"/>
    <w:rsid w:val="00A6608F"/>
    <w:rsid w:val="00A66275"/>
    <w:rsid w:val="00A66F76"/>
    <w:rsid w:val="00A702F5"/>
    <w:rsid w:val="00A71E3A"/>
    <w:rsid w:val="00A72C6C"/>
    <w:rsid w:val="00A72D08"/>
    <w:rsid w:val="00A74793"/>
    <w:rsid w:val="00A74944"/>
    <w:rsid w:val="00A74BC8"/>
    <w:rsid w:val="00A7560F"/>
    <w:rsid w:val="00A7572C"/>
    <w:rsid w:val="00A759DE"/>
    <w:rsid w:val="00A76657"/>
    <w:rsid w:val="00A7718A"/>
    <w:rsid w:val="00A77741"/>
    <w:rsid w:val="00A77C20"/>
    <w:rsid w:val="00A80D22"/>
    <w:rsid w:val="00A80D62"/>
    <w:rsid w:val="00A81258"/>
    <w:rsid w:val="00A82346"/>
    <w:rsid w:val="00A83F31"/>
    <w:rsid w:val="00A85310"/>
    <w:rsid w:val="00A85DCD"/>
    <w:rsid w:val="00A86B21"/>
    <w:rsid w:val="00A8763B"/>
    <w:rsid w:val="00A901C3"/>
    <w:rsid w:val="00A90B53"/>
    <w:rsid w:val="00A92977"/>
    <w:rsid w:val="00A94917"/>
    <w:rsid w:val="00A9525A"/>
    <w:rsid w:val="00A95CCA"/>
    <w:rsid w:val="00A95D85"/>
    <w:rsid w:val="00A95EC3"/>
    <w:rsid w:val="00A96374"/>
    <w:rsid w:val="00A9671C"/>
    <w:rsid w:val="00A97B44"/>
    <w:rsid w:val="00AA0C38"/>
    <w:rsid w:val="00AA0F95"/>
    <w:rsid w:val="00AA2EC0"/>
    <w:rsid w:val="00AA49E0"/>
    <w:rsid w:val="00AA4AF2"/>
    <w:rsid w:val="00AA4E8F"/>
    <w:rsid w:val="00AA53C6"/>
    <w:rsid w:val="00AB0EE8"/>
    <w:rsid w:val="00AB14C4"/>
    <w:rsid w:val="00AB30AE"/>
    <w:rsid w:val="00AB3B76"/>
    <w:rsid w:val="00AB43B1"/>
    <w:rsid w:val="00AB45C2"/>
    <w:rsid w:val="00AB6BB1"/>
    <w:rsid w:val="00AB7153"/>
    <w:rsid w:val="00AB7904"/>
    <w:rsid w:val="00AC01D1"/>
    <w:rsid w:val="00AC0D75"/>
    <w:rsid w:val="00AC18DE"/>
    <w:rsid w:val="00AC205B"/>
    <w:rsid w:val="00AC2C36"/>
    <w:rsid w:val="00AC2C87"/>
    <w:rsid w:val="00AC30E3"/>
    <w:rsid w:val="00AC39D1"/>
    <w:rsid w:val="00AC3DCA"/>
    <w:rsid w:val="00AC4E7E"/>
    <w:rsid w:val="00AC773F"/>
    <w:rsid w:val="00AD1AC6"/>
    <w:rsid w:val="00AD27FA"/>
    <w:rsid w:val="00AD4815"/>
    <w:rsid w:val="00AD6538"/>
    <w:rsid w:val="00AE0FAB"/>
    <w:rsid w:val="00AE1024"/>
    <w:rsid w:val="00AE131B"/>
    <w:rsid w:val="00AE1816"/>
    <w:rsid w:val="00AE283D"/>
    <w:rsid w:val="00AE3EA6"/>
    <w:rsid w:val="00AE4029"/>
    <w:rsid w:val="00AE4D66"/>
    <w:rsid w:val="00AE5120"/>
    <w:rsid w:val="00AE6A2B"/>
    <w:rsid w:val="00AF05BB"/>
    <w:rsid w:val="00AF1911"/>
    <w:rsid w:val="00AF248A"/>
    <w:rsid w:val="00AF3F37"/>
    <w:rsid w:val="00AF6AC6"/>
    <w:rsid w:val="00AF7BE6"/>
    <w:rsid w:val="00B0163D"/>
    <w:rsid w:val="00B017A0"/>
    <w:rsid w:val="00B033EF"/>
    <w:rsid w:val="00B03B3C"/>
    <w:rsid w:val="00B05444"/>
    <w:rsid w:val="00B07498"/>
    <w:rsid w:val="00B07B85"/>
    <w:rsid w:val="00B07BC4"/>
    <w:rsid w:val="00B10117"/>
    <w:rsid w:val="00B109DA"/>
    <w:rsid w:val="00B10A64"/>
    <w:rsid w:val="00B114C3"/>
    <w:rsid w:val="00B120B2"/>
    <w:rsid w:val="00B12217"/>
    <w:rsid w:val="00B13962"/>
    <w:rsid w:val="00B15449"/>
    <w:rsid w:val="00B16C8A"/>
    <w:rsid w:val="00B1723E"/>
    <w:rsid w:val="00B1731A"/>
    <w:rsid w:val="00B17AB3"/>
    <w:rsid w:val="00B20B04"/>
    <w:rsid w:val="00B20E64"/>
    <w:rsid w:val="00B22177"/>
    <w:rsid w:val="00B2235D"/>
    <w:rsid w:val="00B224BD"/>
    <w:rsid w:val="00B239D9"/>
    <w:rsid w:val="00B23DCC"/>
    <w:rsid w:val="00B23F88"/>
    <w:rsid w:val="00B25551"/>
    <w:rsid w:val="00B25E3B"/>
    <w:rsid w:val="00B30390"/>
    <w:rsid w:val="00B309E6"/>
    <w:rsid w:val="00B31AA3"/>
    <w:rsid w:val="00B32436"/>
    <w:rsid w:val="00B324C2"/>
    <w:rsid w:val="00B328DE"/>
    <w:rsid w:val="00B34185"/>
    <w:rsid w:val="00B34C10"/>
    <w:rsid w:val="00B35B30"/>
    <w:rsid w:val="00B36640"/>
    <w:rsid w:val="00B37066"/>
    <w:rsid w:val="00B4022D"/>
    <w:rsid w:val="00B4029E"/>
    <w:rsid w:val="00B4115B"/>
    <w:rsid w:val="00B414B2"/>
    <w:rsid w:val="00B4280F"/>
    <w:rsid w:val="00B4376D"/>
    <w:rsid w:val="00B446F3"/>
    <w:rsid w:val="00B4479D"/>
    <w:rsid w:val="00B46DFA"/>
    <w:rsid w:val="00B472AE"/>
    <w:rsid w:val="00B47B4C"/>
    <w:rsid w:val="00B517DA"/>
    <w:rsid w:val="00B53026"/>
    <w:rsid w:val="00B5324C"/>
    <w:rsid w:val="00B54356"/>
    <w:rsid w:val="00B550C0"/>
    <w:rsid w:val="00B5694F"/>
    <w:rsid w:val="00B5724C"/>
    <w:rsid w:val="00B573A0"/>
    <w:rsid w:val="00B575B7"/>
    <w:rsid w:val="00B60B6D"/>
    <w:rsid w:val="00B620C6"/>
    <w:rsid w:val="00B62450"/>
    <w:rsid w:val="00B62656"/>
    <w:rsid w:val="00B62C3A"/>
    <w:rsid w:val="00B6387B"/>
    <w:rsid w:val="00B6400F"/>
    <w:rsid w:val="00B64F6E"/>
    <w:rsid w:val="00B66773"/>
    <w:rsid w:val="00B67516"/>
    <w:rsid w:val="00B675E5"/>
    <w:rsid w:val="00B67B43"/>
    <w:rsid w:val="00B67FC5"/>
    <w:rsid w:val="00B704B9"/>
    <w:rsid w:val="00B71C9C"/>
    <w:rsid w:val="00B74F24"/>
    <w:rsid w:val="00B753E5"/>
    <w:rsid w:val="00B757AF"/>
    <w:rsid w:val="00B768B9"/>
    <w:rsid w:val="00B76DF2"/>
    <w:rsid w:val="00B76E50"/>
    <w:rsid w:val="00B7763A"/>
    <w:rsid w:val="00B77D03"/>
    <w:rsid w:val="00B8054D"/>
    <w:rsid w:val="00B806E5"/>
    <w:rsid w:val="00B80819"/>
    <w:rsid w:val="00B836B3"/>
    <w:rsid w:val="00B87C87"/>
    <w:rsid w:val="00B92E27"/>
    <w:rsid w:val="00B931D0"/>
    <w:rsid w:val="00B94818"/>
    <w:rsid w:val="00B94C5F"/>
    <w:rsid w:val="00B94EC5"/>
    <w:rsid w:val="00B95C0E"/>
    <w:rsid w:val="00B97A49"/>
    <w:rsid w:val="00B97A93"/>
    <w:rsid w:val="00BA04B7"/>
    <w:rsid w:val="00BA0F1F"/>
    <w:rsid w:val="00BA2519"/>
    <w:rsid w:val="00BA3091"/>
    <w:rsid w:val="00BA4DBE"/>
    <w:rsid w:val="00BA559B"/>
    <w:rsid w:val="00BA79DD"/>
    <w:rsid w:val="00BB05BD"/>
    <w:rsid w:val="00BB1B5B"/>
    <w:rsid w:val="00BB2DC8"/>
    <w:rsid w:val="00BB33CA"/>
    <w:rsid w:val="00BB3DCC"/>
    <w:rsid w:val="00BB5CDA"/>
    <w:rsid w:val="00BB7AED"/>
    <w:rsid w:val="00BC11EC"/>
    <w:rsid w:val="00BC1987"/>
    <w:rsid w:val="00BC434A"/>
    <w:rsid w:val="00BC553A"/>
    <w:rsid w:val="00BC6D4E"/>
    <w:rsid w:val="00BC6DEB"/>
    <w:rsid w:val="00BC6F4A"/>
    <w:rsid w:val="00BC74AD"/>
    <w:rsid w:val="00BD1EA5"/>
    <w:rsid w:val="00BD2047"/>
    <w:rsid w:val="00BD24BE"/>
    <w:rsid w:val="00BD2981"/>
    <w:rsid w:val="00BD3254"/>
    <w:rsid w:val="00BD390B"/>
    <w:rsid w:val="00BD4231"/>
    <w:rsid w:val="00BD4919"/>
    <w:rsid w:val="00BD4B21"/>
    <w:rsid w:val="00BD5CD5"/>
    <w:rsid w:val="00BD5F08"/>
    <w:rsid w:val="00BE0EDA"/>
    <w:rsid w:val="00BE2185"/>
    <w:rsid w:val="00BE3264"/>
    <w:rsid w:val="00BE3ECA"/>
    <w:rsid w:val="00BE5235"/>
    <w:rsid w:val="00BE543D"/>
    <w:rsid w:val="00BE5664"/>
    <w:rsid w:val="00BE581E"/>
    <w:rsid w:val="00BE5A65"/>
    <w:rsid w:val="00BE6022"/>
    <w:rsid w:val="00BF12E8"/>
    <w:rsid w:val="00BF21B4"/>
    <w:rsid w:val="00BF27D1"/>
    <w:rsid w:val="00BF3C1E"/>
    <w:rsid w:val="00BF4007"/>
    <w:rsid w:val="00BF41EC"/>
    <w:rsid w:val="00BF4931"/>
    <w:rsid w:val="00BF5EEB"/>
    <w:rsid w:val="00BF5F4A"/>
    <w:rsid w:val="00BF626E"/>
    <w:rsid w:val="00BF77B2"/>
    <w:rsid w:val="00BF79F1"/>
    <w:rsid w:val="00C00499"/>
    <w:rsid w:val="00C009CF"/>
    <w:rsid w:val="00C01A56"/>
    <w:rsid w:val="00C01E2A"/>
    <w:rsid w:val="00C025B4"/>
    <w:rsid w:val="00C05457"/>
    <w:rsid w:val="00C063E2"/>
    <w:rsid w:val="00C10423"/>
    <w:rsid w:val="00C10D1A"/>
    <w:rsid w:val="00C10EDD"/>
    <w:rsid w:val="00C1100D"/>
    <w:rsid w:val="00C11E88"/>
    <w:rsid w:val="00C149EE"/>
    <w:rsid w:val="00C152E8"/>
    <w:rsid w:val="00C157FC"/>
    <w:rsid w:val="00C16011"/>
    <w:rsid w:val="00C1677D"/>
    <w:rsid w:val="00C17BCE"/>
    <w:rsid w:val="00C21798"/>
    <w:rsid w:val="00C2244C"/>
    <w:rsid w:val="00C22564"/>
    <w:rsid w:val="00C2496B"/>
    <w:rsid w:val="00C25F8E"/>
    <w:rsid w:val="00C2769B"/>
    <w:rsid w:val="00C30186"/>
    <w:rsid w:val="00C3238A"/>
    <w:rsid w:val="00C326EE"/>
    <w:rsid w:val="00C32F24"/>
    <w:rsid w:val="00C33079"/>
    <w:rsid w:val="00C34885"/>
    <w:rsid w:val="00C3492F"/>
    <w:rsid w:val="00C34CF6"/>
    <w:rsid w:val="00C36A5F"/>
    <w:rsid w:val="00C3722B"/>
    <w:rsid w:val="00C40DC0"/>
    <w:rsid w:val="00C40E35"/>
    <w:rsid w:val="00C41D0D"/>
    <w:rsid w:val="00C4286B"/>
    <w:rsid w:val="00C42AAF"/>
    <w:rsid w:val="00C430F9"/>
    <w:rsid w:val="00C438BC"/>
    <w:rsid w:val="00C43CDF"/>
    <w:rsid w:val="00C43E5B"/>
    <w:rsid w:val="00C43ED6"/>
    <w:rsid w:val="00C4460C"/>
    <w:rsid w:val="00C44A29"/>
    <w:rsid w:val="00C4621D"/>
    <w:rsid w:val="00C469CC"/>
    <w:rsid w:val="00C51B82"/>
    <w:rsid w:val="00C5234D"/>
    <w:rsid w:val="00C5249E"/>
    <w:rsid w:val="00C52989"/>
    <w:rsid w:val="00C539E5"/>
    <w:rsid w:val="00C53BD4"/>
    <w:rsid w:val="00C53CF0"/>
    <w:rsid w:val="00C5434A"/>
    <w:rsid w:val="00C600BD"/>
    <w:rsid w:val="00C60947"/>
    <w:rsid w:val="00C60FAB"/>
    <w:rsid w:val="00C61082"/>
    <w:rsid w:val="00C61ECF"/>
    <w:rsid w:val="00C622CD"/>
    <w:rsid w:val="00C64FF9"/>
    <w:rsid w:val="00C66F3D"/>
    <w:rsid w:val="00C67D12"/>
    <w:rsid w:val="00C67E80"/>
    <w:rsid w:val="00C7303E"/>
    <w:rsid w:val="00C73EC3"/>
    <w:rsid w:val="00C7411C"/>
    <w:rsid w:val="00C74260"/>
    <w:rsid w:val="00C74479"/>
    <w:rsid w:val="00C747FB"/>
    <w:rsid w:val="00C7515C"/>
    <w:rsid w:val="00C760C9"/>
    <w:rsid w:val="00C801AB"/>
    <w:rsid w:val="00C80640"/>
    <w:rsid w:val="00C8133A"/>
    <w:rsid w:val="00C81DF9"/>
    <w:rsid w:val="00C82039"/>
    <w:rsid w:val="00C82A4E"/>
    <w:rsid w:val="00C83902"/>
    <w:rsid w:val="00C87616"/>
    <w:rsid w:val="00C937B8"/>
    <w:rsid w:val="00C938E9"/>
    <w:rsid w:val="00C942BE"/>
    <w:rsid w:val="00C94B13"/>
    <w:rsid w:val="00C95E31"/>
    <w:rsid w:val="00C95E56"/>
    <w:rsid w:val="00C95FAA"/>
    <w:rsid w:val="00C96493"/>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B39"/>
    <w:rsid w:val="00CA7C84"/>
    <w:rsid w:val="00CB22C2"/>
    <w:rsid w:val="00CB2E44"/>
    <w:rsid w:val="00CB316C"/>
    <w:rsid w:val="00CB412D"/>
    <w:rsid w:val="00CB47ED"/>
    <w:rsid w:val="00CB510F"/>
    <w:rsid w:val="00CB5CFF"/>
    <w:rsid w:val="00CB61D2"/>
    <w:rsid w:val="00CB6AF0"/>
    <w:rsid w:val="00CB7332"/>
    <w:rsid w:val="00CC122B"/>
    <w:rsid w:val="00CC2A6E"/>
    <w:rsid w:val="00CC2CC8"/>
    <w:rsid w:val="00CC44EF"/>
    <w:rsid w:val="00CC4DEA"/>
    <w:rsid w:val="00CC6CA5"/>
    <w:rsid w:val="00CC6DD8"/>
    <w:rsid w:val="00CC708E"/>
    <w:rsid w:val="00CD0E51"/>
    <w:rsid w:val="00CD11AE"/>
    <w:rsid w:val="00CD14F4"/>
    <w:rsid w:val="00CD1A49"/>
    <w:rsid w:val="00CD2620"/>
    <w:rsid w:val="00CD2C47"/>
    <w:rsid w:val="00CD372F"/>
    <w:rsid w:val="00CD424E"/>
    <w:rsid w:val="00CD4A9C"/>
    <w:rsid w:val="00CD4C7B"/>
    <w:rsid w:val="00CD6C7B"/>
    <w:rsid w:val="00CE07A8"/>
    <w:rsid w:val="00CE0E01"/>
    <w:rsid w:val="00CE1F72"/>
    <w:rsid w:val="00CE2062"/>
    <w:rsid w:val="00CE270D"/>
    <w:rsid w:val="00CE2EFF"/>
    <w:rsid w:val="00CE3251"/>
    <w:rsid w:val="00CE3415"/>
    <w:rsid w:val="00CE3C9A"/>
    <w:rsid w:val="00CE455C"/>
    <w:rsid w:val="00CE5BC7"/>
    <w:rsid w:val="00CE7D9D"/>
    <w:rsid w:val="00CF0E38"/>
    <w:rsid w:val="00CF12AE"/>
    <w:rsid w:val="00CF23EC"/>
    <w:rsid w:val="00CF23EE"/>
    <w:rsid w:val="00CF2BE9"/>
    <w:rsid w:val="00CF2E79"/>
    <w:rsid w:val="00CF3ED7"/>
    <w:rsid w:val="00CF4536"/>
    <w:rsid w:val="00CF47EC"/>
    <w:rsid w:val="00CF5CB9"/>
    <w:rsid w:val="00CF5F67"/>
    <w:rsid w:val="00CF6620"/>
    <w:rsid w:val="00CF6B19"/>
    <w:rsid w:val="00CF6FED"/>
    <w:rsid w:val="00CF7688"/>
    <w:rsid w:val="00D00574"/>
    <w:rsid w:val="00D006B0"/>
    <w:rsid w:val="00D007C0"/>
    <w:rsid w:val="00D00F33"/>
    <w:rsid w:val="00D018BE"/>
    <w:rsid w:val="00D03365"/>
    <w:rsid w:val="00D03E99"/>
    <w:rsid w:val="00D0616A"/>
    <w:rsid w:val="00D072F9"/>
    <w:rsid w:val="00D07600"/>
    <w:rsid w:val="00D079C0"/>
    <w:rsid w:val="00D13670"/>
    <w:rsid w:val="00D14570"/>
    <w:rsid w:val="00D178CB"/>
    <w:rsid w:val="00D17AE6"/>
    <w:rsid w:val="00D20000"/>
    <w:rsid w:val="00D201ED"/>
    <w:rsid w:val="00D20269"/>
    <w:rsid w:val="00D207EB"/>
    <w:rsid w:val="00D20C08"/>
    <w:rsid w:val="00D20D27"/>
    <w:rsid w:val="00D20DF3"/>
    <w:rsid w:val="00D2263F"/>
    <w:rsid w:val="00D229D4"/>
    <w:rsid w:val="00D23C6C"/>
    <w:rsid w:val="00D25448"/>
    <w:rsid w:val="00D27197"/>
    <w:rsid w:val="00D273AF"/>
    <w:rsid w:val="00D313EF"/>
    <w:rsid w:val="00D316E4"/>
    <w:rsid w:val="00D31DD3"/>
    <w:rsid w:val="00D32E0F"/>
    <w:rsid w:val="00D334AB"/>
    <w:rsid w:val="00D337BB"/>
    <w:rsid w:val="00D33B05"/>
    <w:rsid w:val="00D33DBF"/>
    <w:rsid w:val="00D34147"/>
    <w:rsid w:val="00D34B44"/>
    <w:rsid w:val="00D34C43"/>
    <w:rsid w:val="00D35F85"/>
    <w:rsid w:val="00D36592"/>
    <w:rsid w:val="00D36E2E"/>
    <w:rsid w:val="00D370BC"/>
    <w:rsid w:val="00D40086"/>
    <w:rsid w:val="00D400A1"/>
    <w:rsid w:val="00D401A9"/>
    <w:rsid w:val="00D40F2E"/>
    <w:rsid w:val="00D417CD"/>
    <w:rsid w:val="00D422B4"/>
    <w:rsid w:val="00D42FF2"/>
    <w:rsid w:val="00D44D2E"/>
    <w:rsid w:val="00D46851"/>
    <w:rsid w:val="00D47AA0"/>
    <w:rsid w:val="00D47F32"/>
    <w:rsid w:val="00D509BB"/>
    <w:rsid w:val="00D515CE"/>
    <w:rsid w:val="00D516A1"/>
    <w:rsid w:val="00D51922"/>
    <w:rsid w:val="00D52FA8"/>
    <w:rsid w:val="00D53116"/>
    <w:rsid w:val="00D537F6"/>
    <w:rsid w:val="00D54EF9"/>
    <w:rsid w:val="00D55066"/>
    <w:rsid w:val="00D572DA"/>
    <w:rsid w:val="00D61457"/>
    <w:rsid w:val="00D615CF"/>
    <w:rsid w:val="00D62561"/>
    <w:rsid w:val="00D62C0A"/>
    <w:rsid w:val="00D646C3"/>
    <w:rsid w:val="00D65B22"/>
    <w:rsid w:val="00D66094"/>
    <w:rsid w:val="00D67715"/>
    <w:rsid w:val="00D67DBE"/>
    <w:rsid w:val="00D7086E"/>
    <w:rsid w:val="00D71B6C"/>
    <w:rsid w:val="00D71DA2"/>
    <w:rsid w:val="00D738D6"/>
    <w:rsid w:val="00D74075"/>
    <w:rsid w:val="00D74990"/>
    <w:rsid w:val="00D755C9"/>
    <w:rsid w:val="00D7580B"/>
    <w:rsid w:val="00D764B4"/>
    <w:rsid w:val="00D76883"/>
    <w:rsid w:val="00D80292"/>
    <w:rsid w:val="00D80795"/>
    <w:rsid w:val="00D808B5"/>
    <w:rsid w:val="00D80E3A"/>
    <w:rsid w:val="00D83F39"/>
    <w:rsid w:val="00D8552F"/>
    <w:rsid w:val="00D856C8"/>
    <w:rsid w:val="00D87875"/>
    <w:rsid w:val="00D87E00"/>
    <w:rsid w:val="00D90DB7"/>
    <w:rsid w:val="00D911DC"/>
    <w:rsid w:val="00D9134D"/>
    <w:rsid w:val="00D92527"/>
    <w:rsid w:val="00D93079"/>
    <w:rsid w:val="00D93A92"/>
    <w:rsid w:val="00D9441A"/>
    <w:rsid w:val="00D96025"/>
    <w:rsid w:val="00D96454"/>
    <w:rsid w:val="00D970D6"/>
    <w:rsid w:val="00DA1653"/>
    <w:rsid w:val="00DA1BEA"/>
    <w:rsid w:val="00DA1DDF"/>
    <w:rsid w:val="00DA243A"/>
    <w:rsid w:val="00DA3072"/>
    <w:rsid w:val="00DA32E6"/>
    <w:rsid w:val="00DA3A2B"/>
    <w:rsid w:val="00DA4E17"/>
    <w:rsid w:val="00DA5797"/>
    <w:rsid w:val="00DA5FE4"/>
    <w:rsid w:val="00DA7A03"/>
    <w:rsid w:val="00DA7B04"/>
    <w:rsid w:val="00DB1766"/>
    <w:rsid w:val="00DB1818"/>
    <w:rsid w:val="00DB254D"/>
    <w:rsid w:val="00DB5169"/>
    <w:rsid w:val="00DB6C4C"/>
    <w:rsid w:val="00DB6CAF"/>
    <w:rsid w:val="00DB7186"/>
    <w:rsid w:val="00DB796F"/>
    <w:rsid w:val="00DC0F26"/>
    <w:rsid w:val="00DC1F0D"/>
    <w:rsid w:val="00DC2754"/>
    <w:rsid w:val="00DC309B"/>
    <w:rsid w:val="00DC4DA2"/>
    <w:rsid w:val="00DC5291"/>
    <w:rsid w:val="00DC62C3"/>
    <w:rsid w:val="00DC6402"/>
    <w:rsid w:val="00DD0254"/>
    <w:rsid w:val="00DD053F"/>
    <w:rsid w:val="00DD1954"/>
    <w:rsid w:val="00DD1E32"/>
    <w:rsid w:val="00DD2F40"/>
    <w:rsid w:val="00DD34F0"/>
    <w:rsid w:val="00DD3784"/>
    <w:rsid w:val="00DD3DFE"/>
    <w:rsid w:val="00DD40A9"/>
    <w:rsid w:val="00DD417E"/>
    <w:rsid w:val="00DD4A4E"/>
    <w:rsid w:val="00DD4B25"/>
    <w:rsid w:val="00DD4EE9"/>
    <w:rsid w:val="00DD53C0"/>
    <w:rsid w:val="00DD58E9"/>
    <w:rsid w:val="00DE0769"/>
    <w:rsid w:val="00DE3FD7"/>
    <w:rsid w:val="00DE508A"/>
    <w:rsid w:val="00DE7D8C"/>
    <w:rsid w:val="00DF0164"/>
    <w:rsid w:val="00DF02A5"/>
    <w:rsid w:val="00DF24BA"/>
    <w:rsid w:val="00DF2732"/>
    <w:rsid w:val="00DF368F"/>
    <w:rsid w:val="00DF3B88"/>
    <w:rsid w:val="00DF42E8"/>
    <w:rsid w:val="00DF60DB"/>
    <w:rsid w:val="00DF7CE0"/>
    <w:rsid w:val="00DF7DEC"/>
    <w:rsid w:val="00E008E9"/>
    <w:rsid w:val="00E00CEF"/>
    <w:rsid w:val="00E019DD"/>
    <w:rsid w:val="00E02877"/>
    <w:rsid w:val="00E048B4"/>
    <w:rsid w:val="00E05545"/>
    <w:rsid w:val="00E05C9F"/>
    <w:rsid w:val="00E05FB9"/>
    <w:rsid w:val="00E07A8F"/>
    <w:rsid w:val="00E07E67"/>
    <w:rsid w:val="00E10381"/>
    <w:rsid w:val="00E12149"/>
    <w:rsid w:val="00E13303"/>
    <w:rsid w:val="00E13938"/>
    <w:rsid w:val="00E14000"/>
    <w:rsid w:val="00E14820"/>
    <w:rsid w:val="00E14BDC"/>
    <w:rsid w:val="00E160B6"/>
    <w:rsid w:val="00E17960"/>
    <w:rsid w:val="00E20568"/>
    <w:rsid w:val="00E205AF"/>
    <w:rsid w:val="00E20F63"/>
    <w:rsid w:val="00E2144D"/>
    <w:rsid w:val="00E22A8A"/>
    <w:rsid w:val="00E234B4"/>
    <w:rsid w:val="00E243B8"/>
    <w:rsid w:val="00E24844"/>
    <w:rsid w:val="00E26C0B"/>
    <w:rsid w:val="00E27352"/>
    <w:rsid w:val="00E27680"/>
    <w:rsid w:val="00E30274"/>
    <w:rsid w:val="00E31F56"/>
    <w:rsid w:val="00E32697"/>
    <w:rsid w:val="00E32ACD"/>
    <w:rsid w:val="00E3347C"/>
    <w:rsid w:val="00E33514"/>
    <w:rsid w:val="00E338CF"/>
    <w:rsid w:val="00E33B0E"/>
    <w:rsid w:val="00E352D3"/>
    <w:rsid w:val="00E3531F"/>
    <w:rsid w:val="00E35D9F"/>
    <w:rsid w:val="00E376B0"/>
    <w:rsid w:val="00E40C44"/>
    <w:rsid w:val="00E4122E"/>
    <w:rsid w:val="00E417F3"/>
    <w:rsid w:val="00E4324A"/>
    <w:rsid w:val="00E44C11"/>
    <w:rsid w:val="00E46555"/>
    <w:rsid w:val="00E46620"/>
    <w:rsid w:val="00E47BC4"/>
    <w:rsid w:val="00E5071A"/>
    <w:rsid w:val="00E50DA5"/>
    <w:rsid w:val="00E50F25"/>
    <w:rsid w:val="00E5135D"/>
    <w:rsid w:val="00E52DB6"/>
    <w:rsid w:val="00E52EBD"/>
    <w:rsid w:val="00E55C02"/>
    <w:rsid w:val="00E568A6"/>
    <w:rsid w:val="00E569A4"/>
    <w:rsid w:val="00E57A08"/>
    <w:rsid w:val="00E62835"/>
    <w:rsid w:val="00E648F0"/>
    <w:rsid w:val="00E655A7"/>
    <w:rsid w:val="00E66210"/>
    <w:rsid w:val="00E67287"/>
    <w:rsid w:val="00E67670"/>
    <w:rsid w:val="00E676D8"/>
    <w:rsid w:val="00E678FA"/>
    <w:rsid w:val="00E70152"/>
    <w:rsid w:val="00E70506"/>
    <w:rsid w:val="00E722DC"/>
    <w:rsid w:val="00E72827"/>
    <w:rsid w:val="00E72B04"/>
    <w:rsid w:val="00E72B0B"/>
    <w:rsid w:val="00E73933"/>
    <w:rsid w:val="00E74D75"/>
    <w:rsid w:val="00E758E2"/>
    <w:rsid w:val="00E76B34"/>
    <w:rsid w:val="00E76F37"/>
    <w:rsid w:val="00E77645"/>
    <w:rsid w:val="00E80B0B"/>
    <w:rsid w:val="00E82BC8"/>
    <w:rsid w:val="00E8330F"/>
    <w:rsid w:val="00E838AA"/>
    <w:rsid w:val="00E86928"/>
    <w:rsid w:val="00E86F0D"/>
    <w:rsid w:val="00E870CD"/>
    <w:rsid w:val="00E8740E"/>
    <w:rsid w:val="00E87C0D"/>
    <w:rsid w:val="00E957C6"/>
    <w:rsid w:val="00E95A0E"/>
    <w:rsid w:val="00E96E21"/>
    <w:rsid w:val="00E96F79"/>
    <w:rsid w:val="00EA1266"/>
    <w:rsid w:val="00EA22F8"/>
    <w:rsid w:val="00EA236A"/>
    <w:rsid w:val="00EA472F"/>
    <w:rsid w:val="00EA6955"/>
    <w:rsid w:val="00EA7D6B"/>
    <w:rsid w:val="00EB0BA3"/>
    <w:rsid w:val="00EB3379"/>
    <w:rsid w:val="00EB4185"/>
    <w:rsid w:val="00EB4384"/>
    <w:rsid w:val="00EB60B7"/>
    <w:rsid w:val="00EB60BA"/>
    <w:rsid w:val="00EB78B1"/>
    <w:rsid w:val="00EB7D70"/>
    <w:rsid w:val="00EC01C8"/>
    <w:rsid w:val="00EC2119"/>
    <w:rsid w:val="00EC23FA"/>
    <w:rsid w:val="00EC263E"/>
    <w:rsid w:val="00EC2E08"/>
    <w:rsid w:val="00EC37C8"/>
    <w:rsid w:val="00EC3973"/>
    <w:rsid w:val="00EC445F"/>
    <w:rsid w:val="00EC474F"/>
    <w:rsid w:val="00EC4A25"/>
    <w:rsid w:val="00EC56CF"/>
    <w:rsid w:val="00EC70E5"/>
    <w:rsid w:val="00EC7F6A"/>
    <w:rsid w:val="00ED06A4"/>
    <w:rsid w:val="00ED0957"/>
    <w:rsid w:val="00ED1BBA"/>
    <w:rsid w:val="00ED1CA4"/>
    <w:rsid w:val="00ED1D25"/>
    <w:rsid w:val="00ED2CF8"/>
    <w:rsid w:val="00ED3445"/>
    <w:rsid w:val="00ED39C3"/>
    <w:rsid w:val="00ED3CDF"/>
    <w:rsid w:val="00ED75D6"/>
    <w:rsid w:val="00ED7B26"/>
    <w:rsid w:val="00EE058C"/>
    <w:rsid w:val="00EE05A5"/>
    <w:rsid w:val="00EE0635"/>
    <w:rsid w:val="00EE13A8"/>
    <w:rsid w:val="00EE1A73"/>
    <w:rsid w:val="00EE29AC"/>
    <w:rsid w:val="00EE2D28"/>
    <w:rsid w:val="00EE42CE"/>
    <w:rsid w:val="00EE5B63"/>
    <w:rsid w:val="00EE6A05"/>
    <w:rsid w:val="00EF02D5"/>
    <w:rsid w:val="00EF0D20"/>
    <w:rsid w:val="00EF115B"/>
    <w:rsid w:val="00EF2CB7"/>
    <w:rsid w:val="00EF2E4A"/>
    <w:rsid w:val="00EF4175"/>
    <w:rsid w:val="00EF4630"/>
    <w:rsid w:val="00EF492E"/>
    <w:rsid w:val="00EF5AC3"/>
    <w:rsid w:val="00EF628F"/>
    <w:rsid w:val="00EF7667"/>
    <w:rsid w:val="00F00780"/>
    <w:rsid w:val="00F025A2"/>
    <w:rsid w:val="00F03003"/>
    <w:rsid w:val="00F0351E"/>
    <w:rsid w:val="00F03C5A"/>
    <w:rsid w:val="00F03F4F"/>
    <w:rsid w:val="00F0430E"/>
    <w:rsid w:val="00F04AE2"/>
    <w:rsid w:val="00F076C8"/>
    <w:rsid w:val="00F076CB"/>
    <w:rsid w:val="00F107DB"/>
    <w:rsid w:val="00F12502"/>
    <w:rsid w:val="00F127B7"/>
    <w:rsid w:val="00F12C52"/>
    <w:rsid w:val="00F134E5"/>
    <w:rsid w:val="00F13D6C"/>
    <w:rsid w:val="00F13ED5"/>
    <w:rsid w:val="00F14B14"/>
    <w:rsid w:val="00F16632"/>
    <w:rsid w:val="00F17C61"/>
    <w:rsid w:val="00F17F82"/>
    <w:rsid w:val="00F2026E"/>
    <w:rsid w:val="00F21F3E"/>
    <w:rsid w:val="00F2210A"/>
    <w:rsid w:val="00F2245D"/>
    <w:rsid w:val="00F22463"/>
    <w:rsid w:val="00F23D86"/>
    <w:rsid w:val="00F23E13"/>
    <w:rsid w:val="00F24153"/>
    <w:rsid w:val="00F260B0"/>
    <w:rsid w:val="00F26F58"/>
    <w:rsid w:val="00F30486"/>
    <w:rsid w:val="00F31A73"/>
    <w:rsid w:val="00F3248E"/>
    <w:rsid w:val="00F34A3B"/>
    <w:rsid w:val="00F36CB5"/>
    <w:rsid w:val="00F36DA6"/>
    <w:rsid w:val="00F37743"/>
    <w:rsid w:val="00F402FC"/>
    <w:rsid w:val="00F40BBA"/>
    <w:rsid w:val="00F4160A"/>
    <w:rsid w:val="00F418AD"/>
    <w:rsid w:val="00F41989"/>
    <w:rsid w:val="00F41BFB"/>
    <w:rsid w:val="00F41D6C"/>
    <w:rsid w:val="00F42B61"/>
    <w:rsid w:val="00F42D7E"/>
    <w:rsid w:val="00F4454A"/>
    <w:rsid w:val="00F456C3"/>
    <w:rsid w:val="00F50A0F"/>
    <w:rsid w:val="00F50DEB"/>
    <w:rsid w:val="00F50F3A"/>
    <w:rsid w:val="00F52E22"/>
    <w:rsid w:val="00F53EC9"/>
    <w:rsid w:val="00F54760"/>
    <w:rsid w:val="00F54A3D"/>
    <w:rsid w:val="00F56DDF"/>
    <w:rsid w:val="00F57E74"/>
    <w:rsid w:val="00F609E8"/>
    <w:rsid w:val="00F627B1"/>
    <w:rsid w:val="00F62A26"/>
    <w:rsid w:val="00F653B8"/>
    <w:rsid w:val="00F65FC0"/>
    <w:rsid w:val="00F6669C"/>
    <w:rsid w:val="00F66FC6"/>
    <w:rsid w:val="00F675DC"/>
    <w:rsid w:val="00F703DE"/>
    <w:rsid w:val="00F70559"/>
    <w:rsid w:val="00F70A2C"/>
    <w:rsid w:val="00F73FF1"/>
    <w:rsid w:val="00F753D1"/>
    <w:rsid w:val="00F754C5"/>
    <w:rsid w:val="00F75748"/>
    <w:rsid w:val="00F76C5A"/>
    <w:rsid w:val="00F76F8F"/>
    <w:rsid w:val="00F816CF"/>
    <w:rsid w:val="00F82564"/>
    <w:rsid w:val="00F826B3"/>
    <w:rsid w:val="00F8275A"/>
    <w:rsid w:val="00F82D09"/>
    <w:rsid w:val="00F83ACB"/>
    <w:rsid w:val="00F84D05"/>
    <w:rsid w:val="00F8519C"/>
    <w:rsid w:val="00F86F01"/>
    <w:rsid w:val="00F873D2"/>
    <w:rsid w:val="00F9036B"/>
    <w:rsid w:val="00F9106C"/>
    <w:rsid w:val="00F918E7"/>
    <w:rsid w:val="00F923F9"/>
    <w:rsid w:val="00F92CEA"/>
    <w:rsid w:val="00F93C3A"/>
    <w:rsid w:val="00F95682"/>
    <w:rsid w:val="00F967C9"/>
    <w:rsid w:val="00F968CA"/>
    <w:rsid w:val="00F97736"/>
    <w:rsid w:val="00FA0518"/>
    <w:rsid w:val="00FA0BC3"/>
    <w:rsid w:val="00FA0CB0"/>
    <w:rsid w:val="00FA1266"/>
    <w:rsid w:val="00FA17D9"/>
    <w:rsid w:val="00FA1E98"/>
    <w:rsid w:val="00FA4A45"/>
    <w:rsid w:val="00FA606A"/>
    <w:rsid w:val="00FA755C"/>
    <w:rsid w:val="00FB0ED2"/>
    <w:rsid w:val="00FB12F2"/>
    <w:rsid w:val="00FB1B54"/>
    <w:rsid w:val="00FB25D9"/>
    <w:rsid w:val="00FB2B6A"/>
    <w:rsid w:val="00FB4B7E"/>
    <w:rsid w:val="00FB7070"/>
    <w:rsid w:val="00FC1192"/>
    <w:rsid w:val="00FC144E"/>
    <w:rsid w:val="00FC1499"/>
    <w:rsid w:val="00FC1926"/>
    <w:rsid w:val="00FC195A"/>
    <w:rsid w:val="00FC1A80"/>
    <w:rsid w:val="00FC384E"/>
    <w:rsid w:val="00FC4872"/>
    <w:rsid w:val="00FC4C02"/>
    <w:rsid w:val="00FC526A"/>
    <w:rsid w:val="00FC5FE8"/>
    <w:rsid w:val="00FC69E4"/>
    <w:rsid w:val="00FC7E6B"/>
    <w:rsid w:val="00FD0B52"/>
    <w:rsid w:val="00FD3586"/>
    <w:rsid w:val="00FD4DE9"/>
    <w:rsid w:val="00FD5055"/>
    <w:rsid w:val="00FD64A7"/>
    <w:rsid w:val="00FD6B00"/>
    <w:rsid w:val="00FD71D1"/>
    <w:rsid w:val="00FD75F6"/>
    <w:rsid w:val="00FD780C"/>
    <w:rsid w:val="00FD7A6F"/>
    <w:rsid w:val="00FD7D30"/>
    <w:rsid w:val="00FE23D8"/>
    <w:rsid w:val="00FE2AB4"/>
    <w:rsid w:val="00FE3864"/>
    <w:rsid w:val="00FE40AD"/>
    <w:rsid w:val="00FE52F8"/>
    <w:rsid w:val="00FE6F9D"/>
    <w:rsid w:val="00FE724C"/>
    <w:rsid w:val="00FE7EAE"/>
    <w:rsid w:val="00FF0531"/>
    <w:rsid w:val="00FF158F"/>
    <w:rsid w:val="00FF1FB9"/>
    <w:rsid w:val="00FF22E0"/>
    <w:rsid w:val="00FF327F"/>
    <w:rsid w:val="00FF3AB2"/>
    <w:rsid w:val="00FF3B5E"/>
    <w:rsid w:val="00FF3CA9"/>
    <w:rsid w:val="00FF3CF1"/>
    <w:rsid w:val="00FF3E4F"/>
    <w:rsid w:val="00FF40A9"/>
    <w:rsid w:val="00FF46A4"/>
    <w:rsid w:val="00FF4C45"/>
    <w:rsid w:val="00FF5009"/>
    <w:rsid w:val="00FF53B2"/>
    <w:rsid w:val="00FF72B8"/>
    <w:rsid w:val="02AAFCA0"/>
    <w:rsid w:val="05AEA048"/>
    <w:rsid w:val="0B144C8B"/>
    <w:rsid w:val="0D2103CF"/>
    <w:rsid w:val="0D632635"/>
    <w:rsid w:val="0F54976F"/>
    <w:rsid w:val="0FA31F23"/>
    <w:rsid w:val="126B6A64"/>
    <w:rsid w:val="138275EA"/>
    <w:rsid w:val="13FB5EB7"/>
    <w:rsid w:val="157990A6"/>
    <w:rsid w:val="16000915"/>
    <w:rsid w:val="1762E7DF"/>
    <w:rsid w:val="1775FC2E"/>
    <w:rsid w:val="17F4FFBA"/>
    <w:rsid w:val="183E438E"/>
    <w:rsid w:val="195AC683"/>
    <w:rsid w:val="1CB0F7EE"/>
    <w:rsid w:val="1DDFB540"/>
    <w:rsid w:val="1EA51503"/>
    <w:rsid w:val="22587E90"/>
    <w:rsid w:val="286373E7"/>
    <w:rsid w:val="2AE1845D"/>
    <w:rsid w:val="2B7A1252"/>
    <w:rsid w:val="2B925B47"/>
    <w:rsid w:val="310057B4"/>
    <w:rsid w:val="31648B9D"/>
    <w:rsid w:val="36EEAD5A"/>
    <w:rsid w:val="37723A99"/>
    <w:rsid w:val="38732AEF"/>
    <w:rsid w:val="39181874"/>
    <w:rsid w:val="39834FE3"/>
    <w:rsid w:val="3A4BD55A"/>
    <w:rsid w:val="3CE19719"/>
    <w:rsid w:val="3D642E4E"/>
    <w:rsid w:val="3E409942"/>
    <w:rsid w:val="4088A8A8"/>
    <w:rsid w:val="41FDC937"/>
    <w:rsid w:val="42B7F6F3"/>
    <w:rsid w:val="42C99B4F"/>
    <w:rsid w:val="42DBF71C"/>
    <w:rsid w:val="4329C731"/>
    <w:rsid w:val="43C96360"/>
    <w:rsid w:val="46BC1FEF"/>
    <w:rsid w:val="486D19E6"/>
    <w:rsid w:val="4A65B177"/>
    <w:rsid w:val="4FDE1A98"/>
    <w:rsid w:val="5080D6BE"/>
    <w:rsid w:val="53E8EE69"/>
    <w:rsid w:val="56257D2E"/>
    <w:rsid w:val="577B5274"/>
    <w:rsid w:val="5851AABB"/>
    <w:rsid w:val="58ED7200"/>
    <w:rsid w:val="5BE6AE6F"/>
    <w:rsid w:val="61C1B3EC"/>
    <w:rsid w:val="646099AB"/>
    <w:rsid w:val="64C60C32"/>
    <w:rsid w:val="67B86915"/>
    <w:rsid w:val="67FA7910"/>
    <w:rsid w:val="6E1D40C8"/>
    <w:rsid w:val="6EF7D1F9"/>
    <w:rsid w:val="6FD9BE6B"/>
    <w:rsid w:val="70F0C9E5"/>
    <w:rsid w:val="73C69ED4"/>
    <w:rsid w:val="73DC43FA"/>
    <w:rsid w:val="75193974"/>
    <w:rsid w:val="76203590"/>
    <w:rsid w:val="767FBF5E"/>
    <w:rsid w:val="76838E08"/>
    <w:rsid w:val="7AC2B2F6"/>
    <w:rsid w:val="7AE858E3"/>
    <w:rsid w:val="7AEDC18E"/>
    <w:rsid w:val="7C2A4B7C"/>
    <w:rsid w:val="7EA2CB3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D7138E4"/>
  <w15:chartTrackingRefBased/>
  <w15:docId w15:val="{CC319574-45DA-4E4A-A764-6A5B3C29D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E5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RBI5PAMIO524-1616901215-18119</_dlc_DocId>
    <_dlc_DocIdUrl xmlns="71c5aaf6-e6ce-465b-b873-5148d2a4c105">
      <Url>https://nokia.sharepoint.com/sites/gxp/_layouts/15/DocIdRedir.aspx?ID=RBI5PAMIO524-1616901215-18119</Url>
      <Description>RBI5PAMIO524-1616901215-18119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2.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3.xml><?xml version="1.0" encoding="utf-8"?>
<ds:datastoreItem xmlns:ds="http://schemas.openxmlformats.org/officeDocument/2006/customXml" ds:itemID="{C658A2C1-56E3-4AD8-9549-FD65F82D19FD}">
  <ds:schemaRefs>
    <ds:schemaRef ds:uri="http://schemas.microsoft.com/office/2006/documentManagement/types"/>
    <ds:schemaRef ds:uri="71c5aaf6-e6ce-465b-b873-5148d2a4c105"/>
    <ds:schemaRef ds:uri="http://purl.org/dc/elements/1.1/"/>
    <ds:schemaRef ds:uri="http://www.w3.org/XML/1998/namespace"/>
    <ds:schemaRef ds:uri="http://purl.org/dc/dcmitype/"/>
    <ds:schemaRef ds:uri="http://schemas.microsoft.com/office/infopath/2007/PartnerControls"/>
    <ds:schemaRef ds:uri="http://schemas.openxmlformats.org/package/2006/metadata/core-properties"/>
    <ds:schemaRef ds:uri="http://purl.org/dc/terms/"/>
    <ds:schemaRef ds:uri="7275bb01-7583-478d-bc14-e839a2dd5989"/>
    <ds:schemaRef ds:uri="3f2ce089-3858-4176-9a21-a30f9204848e"/>
    <ds:schemaRef ds:uri="http://schemas.microsoft.com/office/2006/metadata/properties"/>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D557E8C4-8F52-4EE5-ABAE-ECCF24749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6</Pages>
  <Words>2313</Words>
  <Characters>13186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15469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2</cp:revision>
  <cp:lastPrinted>2019-03-28T15:16:00Z</cp:lastPrinted>
  <dcterms:created xsi:type="dcterms:W3CDTF">2024-04-05T08:13:00Z</dcterms:created>
  <dcterms:modified xsi:type="dcterms:W3CDTF">2024-04-05T08:13:00Z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f2508440-3a11-4629-bb7f-44586c54ce2f</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